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trend-stability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:beta&lt;=-m</m:t>
        </m:r>
        <m:r>
          <m:rPr>
            <m:nor/>
          </m:rPr>
          <m:t>and</m:t>
        </m:r>
        <m:sSub>
          <m:e>
            <m:r>
              <m:t>H</m:t>
            </m:r>
          </m:e>
          <m:sub>
            <m:r>
              <m:t>0</m:t>
            </m:r>
          </m:sub>
        </m:sSub>
        <m:r>
          <m:t>:beta&gt;=+m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stability. To test whether the association differed by baseline litigation risk or surgical orientation, the model was augmented with an interaction between litrate and a binary group indicator:</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m:t>
        </m:r>
        <m:sSub>
          <m:e>
            <m:r>
              <m:t>delta</m:t>
            </m:r>
          </m:e>
          <m:sub>
            <m:r>
              <m:t>g</m:t>
            </m:r>
          </m:sub>
        </m:sSub>
        <m:r>
          <m:t>*(</m:t>
        </m:r>
        <m:sSub>
          <m:e>
            <m:r>
              <m:rPr>
                <m:nor/>
              </m:rPr>
              <m:t>litrate</m:t>
            </m:r>
          </m:e>
          <m:sub>
            <m:r>
              <m:t>s,t-1</m:t>
            </m:r>
          </m:sub>
        </m:sSub>
        <m:r>
          <m:t>*</m:t>
        </m:r>
        <m:sSub>
          <m:e>
            <m:r>
              <m:rPr>
                <m:nor/>
              </m:rPr>
              <m:t>Group</m:t>
            </m:r>
          </m:e>
          <m:sub>
            <m:r>
              <m:t>s</m:t>
            </m:r>
          </m:sub>
        </m:sSub>
        <m:r>
          <m:t>)+</m:t>
        </m:r>
        <m:sSub>
          <m:e>
            <m:r>
              <m:t>epsilon</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stability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instrument.</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