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Perceived malpractice risk and real workforce allocation: a behavioural-economics analysis of litigation risk and physician specialty supply in Japan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4393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7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