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480" w:lineRule="auto"/>
        <w:jc w:val="left"/>
      </w:pPr>
      <w:r>
        <w:rPr>
          <w:b/>
          <w:sz w:val="24"/>
        </w:rPr>
        <w:t>Original Article</w:t>
      </w:r>
    </w:p>
    <w:p>
      <w:pPr>
        <w:spacing w:before="0" w:after="240" w:line="480" w:lineRule="auto"/>
        <w:jc w:val="left"/>
      </w:pPr>
      <w:r>
        <w:rPr>
          <w:b/>
          <w:sz w:val="28"/>
        </w:rPr>
        <w:t>Tuberculosis Treatment Dropout Shows Increasing Hazard:</w:t>
        <w:br/>
        <w:t>A Six-Domain Weibull Comparative Study</w:t>
      </w:r>
    </w:p>
    <w:p>
      <w:pPr>
        <w:spacing w:before="0" w:after="240" w:line="480" w:lineRule="auto"/>
      </w:pPr>
      <w:r>
        <w:rPr>
          <w:b/>
          <w:sz w:val="24"/>
        </w:rPr>
        <w:t xml:space="preserve">Running title: </w:t>
      </w:r>
      <w:r>
        <w:rPr>
          <w:sz w:val="24"/>
        </w:rPr>
        <w:t>Weibull analysis of TB treatment dropout</w:t>
      </w:r>
    </w:p>
    <w:p>
      <w:pPr>
        <w:spacing w:before="0" w:after="120" w:line="480" w:lineRule="auto"/>
      </w:pPr>
      <w:r>
        <w:rPr>
          <w:sz w:val="24"/>
        </w:rPr>
        <w:t>Tatsuki Onishi</w:t>
      </w:r>
    </w:p>
    <w:p>
      <w:pPr>
        <w:spacing w:before="0" w:after="240" w:line="480" w:lineRule="auto"/>
      </w:pPr>
      <w:r>
        <w:rPr>
          <w:sz w:val="24"/>
        </w:rPr>
        <w:t>Data Science and AI Innovation Research Promotion Center, Shiga University of Medical Science, Otsu, Japan</w:t>
      </w:r>
    </w:p>
    <w:p>
      <w:pPr>
        <w:spacing w:before="0" w:after="480" w:line="480" w:lineRule="auto"/>
      </w:pPr>
      <w:r>
        <w:rPr>
          <w:b/>
          <w:sz w:val="24"/>
        </w:rPr>
        <w:t xml:space="preserve">Corresponding author: </w:t>
      </w:r>
      <w:r>
        <w:rPr>
          <w:sz w:val="24"/>
        </w:rPr>
        <w:t>Tatsuki Onishi, Data Science and AI Innovation Research Promotion Center, Shiga University of Medical Science, Seta Tsukinowa-cho, Otsu, Shiga 520-2192, Japan. E-mail: bougtoir@gmail.com</w:t>
      </w:r>
    </w:p>
    <w:p>
      <w:r>
        <w:br w:type="page"/>
      </w:r>
    </w:p>
    <w:p>
      <w:pPr>
        <w:pStyle w:val="Heading1"/>
        <w:spacing w:before="240" w:after="120" w:line="480" w:lineRule="auto"/>
      </w:pPr>
      <w:r>
        <w:t>Abstract</w:t>
      </w:r>
    </w:p>
    <w:p>
      <w:pPr>
        <w:spacing w:before="0" w:after="0" w:line="480" w:lineRule="auto"/>
      </w:pPr>
      <w:r>
        <w:rPr>
          <w:b/>
          <w:sz w:val="24"/>
        </w:rPr>
        <w:t xml:space="preserve">Background: </w:t>
      </w:r>
      <w:r>
        <w:rPr>
          <w:sz w:val="24"/>
        </w:rPr>
        <w:t>Tuberculosis (TB) treatment dropout remains a major barrier to global TB control. Understanding the temporal pattern of dropout hazard is essential for designing phase-specific retention interventions, yet this pattern has not been systematically characterised or compared with other clinical domains.</w:t>
      </w:r>
    </w:p>
    <w:p>
      <w:pPr>
        <w:spacing w:before="0" w:after="0" w:line="480" w:lineRule="auto"/>
      </w:pPr>
      <w:r>
        <w:rPr>
          <w:b/>
          <w:sz w:val="24"/>
        </w:rPr>
        <w:t xml:space="preserve">Methods: </w:t>
      </w:r>
      <w:r>
        <w:rPr>
          <w:sz w:val="24"/>
        </w:rPr>
        <w:t>We fitted two-parameter Weibull distributions to retention data from TB treatment programmes in five countries (N=139,470) and five comparator clinical domains (HIV/ART, antipsychotic, substance use, cardiac rehabilitation, clinical trials; 27 datasets, N=787,882). The Weibull shape parameter k classifies hazard patterns: k&gt;1 indicates increasing failure rate (IFR), k&lt;1 indicates decreasing failure rate (DFR).</w:t>
      </w:r>
    </w:p>
    <w:p>
      <w:pPr>
        <w:spacing w:before="0" w:after="0" w:line="480" w:lineRule="auto"/>
      </w:pPr>
      <w:r>
        <w:rPr>
          <w:b/>
          <w:sz w:val="24"/>
        </w:rPr>
        <w:t xml:space="preserve">Results: </w:t>
      </w:r>
      <w:r>
        <w:rPr>
          <w:sz w:val="24"/>
        </w:rPr>
        <w:t>TB treatment showed k=1.22-1.31 (mean 1.26), demonstrating IFR: dropout risk increases over the 6-month treatment course. All five comparator domains showed k&lt;1 (range 0.511-0.958), demonstrating universal DFR. This dichotomy separated fixed-duration treatment (TB) from open-ended treatments.</w:t>
      </w:r>
    </w:p>
    <w:p>
      <w:pPr>
        <w:spacing w:before="0" w:after="0" w:line="480" w:lineRule="auto"/>
      </w:pPr>
      <w:r>
        <w:rPr>
          <w:b/>
          <w:sz w:val="24"/>
        </w:rPr>
        <w:t xml:space="preserve">Conclusions: </w:t>
      </w:r>
      <w:r>
        <w:rPr>
          <w:sz w:val="24"/>
        </w:rPr>
        <w:t>TB treatment dropout follows a unique IFR pattern, requiring back-loaded retention interventions concentrated in the continuation phase (months 3-6), contrasting with the front-loaded strategies appropriate for open-ended treatments.</w:t>
      </w:r>
    </w:p>
    <w:p>
      <w:pPr>
        <w:spacing w:before="0" w:after="240" w:line="480" w:lineRule="auto"/>
      </w:pPr>
      <w:r>
        <w:rPr>
          <w:b/>
          <w:sz w:val="24"/>
        </w:rPr>
        <w:t xml:space="preserve">Keywords: </w:t>
      </w:r>
      <w:r>
        <w:rPr>
          <w:sz w:val="24"/>
        </w:rPr>
        <w:t>Tuberculosis; Treatment Adherence and Compliance; Patient Dropouts; Weibull Distribution; Survival Analysis; Hazard Function</w:t>
      </w:r>
    </w:p>
    <w:p>
      <w:r>
        <w:br w:type="page"/>
      </w:r>
    </w:p>
    <w:p>
      <w:pPr>
        <w:pStyle w:val="Heading1"/>
        <w:spacing w:before="240" w:after="120" w:line="480" w:lineRule="auto"/>
      </w:pPr>
      <w:r>
        <w:t>Introduction</w:t>
      </w:r>
    </w:p>
    <w:p>
      <w:pPr>
        <w:spacing w:before="0" w:after="0" w:line="480" w:lineRule="auto"/>
      </w:pPr>
      <w:r>
        <w:rPr>
          <w:sz w:val="24"/>
        </w:rPr>
        <w:t>Tuberculosis (TB) remains a leading infectious disease cause of death globally, with 10.8 million new cases and 1.25 million deaths in 2023.</w:t>
      </w:r>
      <w:r>
        <w:rPr>
          <w:sz w:val="18"/>
          <w:vertAlign w:val="superscript"/>
        </w:rPr>
        <w:t>1</w:t>
      </w:r>
      <w:r>
        <w:rPr>
          <w:sz w:val="24"/>
        </w:rPr>
        <w:t xml:space="preserve"> Treatment dropout (loss to follow-up, LTFU) is a critical barrier to the WHO End TB Strategy targets, contributing to treatment failure, drug resistance emergence, and ongoing community transmission.</w:t>
      </w:r>
      <w:r>
        <w:rPr>
          <w:sz w:val="18"/>
          <w:vertAlign w:val="superscript"/>
        </w:rPr>
        <w:t>2</w:t>
      </w:r>
      <w:r>
        <w:rPr>
          <w:sz w:val="24"/>
        </w:rPr>
        <w:t xml:space="preserve"> Standard first-line TB treatment requires 6 months of continuous therapy comprising a 2-month intensive phase (isoniazid, rifampicin, pyrazinamide, and ethambutol) followed by a 4-month continuation phase (isoniazid and rifampicin), and dropout rates of 5-30% are reported globally.</w:t>
      </w:r>
      <w:r>
        <w:rPr>
          <w:sz w:val="18"/>
          <w:vertAlign w:val="superscript"/>
        </w:rPr>
        <w:t>1,3</w:t>
      </w:r>
      <w:r>
        <w:rPr>
          <w:sz w:val="24"/>
        </w:rPr>
      </w:r>
    </w:p>
    <w:p>
      <w:pPr>
        <w:spacing w:before="0" w:after="0" w:line="480" w:lineRule="auto"/>
      </w:pPr>
      <w:r>
        <w:rPr>
          <w:sz w:val="24"/>
        </w:rPr>
        <w:t>While numerous studies have identified risk factors for TB treatment dropout (poverty, distance to clinic, adverse effects, stigma, substance use, food insecurity),</w:t>
      </w:r>
      <w:r>
        <w:rPr>
          <w:sz w:val="18"/>
          <w:vertAlign w:val="superscript"/>
        </w:rPr>
        <w:t>4</w:t>
      </w:r>
      <w:r>
        <w:rPr>
          <w:sz w:val="24"/>
        </w:rPr>
        <w:t xml:space="preserve"> few have characterised the temporal dynamics of dropout hazard — specifically, whether the risk of dropping out increases, decreases, or remains constant over the treatment course. This distinction has direct implications for intervention timing. If hazard increases over time, retention efforts should be concentrated in later treatment phases; conversely, if hazard decreases, early engagement is paramount. Most TB programmes currently apply uniform adherence support throughout treatment, potentially misallocating resources relative to actual risk trajectories.</w:t>
      </w:r>
      <w:r>
        <w:rPr>
          <w:sz w:val="18"/>
          <w:vertAlign w:val="superscript"/>
        </w:rPr>
        <w:t>5,6</w:t>
      </w:r>
      <w:r>
        <w:rPr>
          <w:sz w:val="24"/>
        </w:rPr>
      </w:r>
    </w:p>
    <w:p>
      <w:pPr>
        <w:spacing w:before="0" w:after="0" w:line="480" w:lineRule="auto"/>
      </w:pPr>
      <w:r>
        <w:rPr>
          <w:sz w:val="24"/>
        </w:rPr>
        <w:t>The Weibull distribution from reliability engineering provides an elegant parametric framework for characterising time-varying hazard through a single shape parameter k.</w:t>
      </w:r>
      <w:r>
        <w:rPr>
          <w:sz w:val="18"/>
          <w:vertAlign w:val="superscript"/>
        </w:rPr>
        <w:t>7,8</w:t>
      </w:r>
      <w:r>
        <w:rPr>
          <w:sz w:val="24"/>
        </w:rPr>
        <w:t xml:space="preserve"> The Weibull hazard function h(t) = (k/λ)(t/λ)^(k-1) is monotonically increasing when k&gt;1 (increasing failure rate, IFR), monotonically decreasing when k&lt;1 (decreasing failure rate, DFR), and constant when k=1 (exponential distribution). This parsimonious parameterisation has been the cornerstone of failure-time analysis in engineering for seven decades, enabling classification of failure modes by their temporal signature.</w:t>
      </w:r>
      <w:r>
        <w:rPr>
          <w:sz w:val="18"/>
          <w:vertAlign w:val="superscript"/>
        </w:rPr>
        <w:t>8</w:t>
      </w:r>
      <w:r>
        <w:rPr>
          <w:sz w:val="24"/>
        </w:rPr>
        <w:t xml:space="preserve"> McChrystal et al. recently demonstrated that the Weibull distribution provides the best fit for clinical trial dropout among 14 candidate distributions tested on 90 randomised controlled trials.</w:t>
      </w:r>
      <w:r>
        <w:rPr>
          <w:sz w:val="18"/>
          <w:vertAlign w:val="superscript"/>
        </w:rPr>
        <w:t>9</w:t>
      </w:r>
      <w:r>
        <w:rPr>
          <w:sz w:val="24"/>
        </w:rPr>
      </w:r>
    </w:p>
    <w:p>
      <w:pPr>
        <w:spacing w:before="0" w:after="0" w:line="480" w:lineRule="auto"/>
      </w:pPr>
      <w:r>
        <w:rPr>
          <w:sz w:val="24"/>
        </w:rPr>
        <w:t>However, no prior study has systematically compared the Weibull hazard pattern of TB treatment dropout with other clinical domains. Such comparison would reveal whether TB dropout follows the same temporal pattern as other treatments or possesses a distinctive signature linked to its fixed-duration structure. The objectives of this study were: (1) to characterise the Weibull hazard pattern of TB treatment dropout across five national programmes spanning diverse geographic and healthcare contexts, (2) to compare the TB pattern with five other clinical domains representing open-ended (indefinite-duration) treatments, and (3) to derive phase-specific intervention recommendations based on the observed hazard trajectory and its mechanistic interpretation.</w:t>
      </w:r>
    </w:p>
    <w:p>
      <w:pPr>
        <w:pStyle w:val="Heading1"/>
        <w:spacing w:before="240" w:after="120" w:line="480" w:lineRule="auto"/>
      </w:pPr>
      <w:r>
        <w:t>Materials and Methods</w:t>
      </w:r>
    </w:p>
    <w:p>
      <w:pPr>
        <w:pStyle w:val="Heading2"/>
      </w:pPr>
      <w:r>
        <w:t>Study Design and Data Sources</w:t>
      </w:r>
    </w:p>
    <w:p>
      <w:pPr>
        <w:spacing w:before="0" w:after="0" w:line="480" w:lineRule="auto"/>
      </w:pPr>
      <w:r>
        <w:rPr>
          <w:sz w:val="24"/>
        </w:rPr>
        <w:t>This is a secondary analysis of published retention/survival data. We reconstructed time-to-dropout data from Kaplan-Meier curves or tabulated retention data reported in peer-reviewed publications. No individual patient data were accessed; therefore, institutional ethics approval was not required.</w:t>
      </w:r>
    </w:p>
    <w:p>
      <w:pPr>
        <w:pStyle w:val="Heading3"/>
      </w:pPr>
      <w:r>
        <w:t>TB Treatment Dropout Data</w:t>
      </w:r>
    </w:p>
    <w:p>
      <w:pPr>
        <w:spacing w:before="0" w:after="0" w:line="480" w:lineRule="auto"/>
      </w:pPr>
      <w:r>
        <w:rPr>
          <w:sz w:val="24"/>
        </w:rPr>
        <w:t>Retention data were obtained from five national TB treatment programmes: Ethiopia (Tola et al. 2019, N=18,420),</w:t>
      </w:r>
      <w:r>
        <w:rPr>
          <w:sz w:val="18"/>
          <w:vertAlign w:val="superscript"/>
        </w:rPr>
        <w:t>10</w:t>
      </w:r>
      <w:r>
        <w:rPr>
          <w:sz w:val="24"/>
        </w:rPr>
        <w:t xml:space="preserve"> South Africa (Kaplan et al. 2017, N=12,350),</w:t>
      </w:r>
      <w:r>
        <w:rPr>
          <w:sz w:val="18"/>
          <w:vertAlign w:val="superscript"/>
        </w:rPr>
        <w:t>11</w:t>
      </w:r>
      <w:r>
        <w:rPr>
          <w:sz w:val="24"/>
        </w:rPr>
        <w:t xml:space="preserve"> India/RNTCP (Parmar et al. 2015, N=45,000),</w:t>
      </w:r>
      <w:r>
        <w:rPr>
          <w:sz w:val="18"/>
          <w:vertAlign w:val="superscript"/>
        </w:rPr>
        <w:t>12</w:t>
      </w:r>
      <w:r>
        <w:rPr>
          <w:sz w:val="24"/>
        </w:rPr>
        <w:t xml:space="preserve"> Brazil/SINAN (Lacerda et al. 2018, N=28,500),</w:t>
      </w:r>
      <w:r>
        <w:rPr>
          <w:sz w:val="18"/>
          <w:vertAlign w:val="superscript"/>
        </w:rPr>
        <w:t>13</w:t>
      </w:r>
      <w:r>
        <w:rPr>
          <w:sz w:val="24"/>
        </w:rPr>
        <w:t xml:space="preserve"> and China (Li et al. 2020, N=35,200).</w:t>
      </w:r>
      <w:r>
        <w:rPr>
          <w:sz w:val="18"/>
          <w:vertAlign w:val="superscript"/>
        </w:rPr>
        <w:t>14</w:t>
      </w:r>
      <w:r>
        <w:rPr>
          <w:sz w:val="24"/>
        </w:rPr>
        <w:t xml:space="preserve"> Total TB sample: N=139,470. All programmes used WHO-recommended 6-month regimens (2HRZE/4HR or equivalent).</w:t>
      </w:r>
      <w:r>
        <w:rPr>
          <w:sz w:val="18"/>
          <w:vertAlign w:val="superscript"/>
        </w:rPr>
        <w:t>3</w:t>
      </w:r>
      <w:r>
        <w:rPr>
          <w:sz w:val="24"/>
        </w:rPr>
      </w:r>
    </w:p>
    <w:p>
      <w:pPr>
        <w:pStyle w:val="Heading3"/>
      </w:pPr>
      <w:r>
        <w:t>Comparator Domain Data</w:t>
      </w:r>
    </w:p>
    <w:p>
      <w:pPr>
        <w:spacing w:before="0" w:after="0" w:line="480" w:lineRule="auto"/>
      </w:pPr>
      <w:r>
        <w:rPr>
          <w:sz w:val="24"/>
        </w:rPr>
        <w:t>To contextualise TB dropout patterns, we analysed five comparator domains representing open-ended (indefinite-duration) treatments: (1) HIV/ART discontinuation (5 IeDEA regional cohorts spanning Sub-Saharan Africa, Asia-Pacific, Latin America, North America, and Europe; N=516,000),</w:t>
      </w:r>
      <w:r>
        <w:rPr>
          <w:sz w:val="18"/>
          <w:vertAlign w:val="superscript"/>
        </w:rPr>
        <w:t>15</w:t>
      </w:r>
      <w:r>
        <w:rPr>
          <w:sz w:val="24"/>
        </w:rPr>
        <w:t xml:space="preserve"> (2) antipsychotic medication discontinuation (CATIE and EUFEST trials, Finland nationwide registry; 6 datasets, N=63,682),</w:t>
      </w:r>
      <w:r>
        <w:rPr>
          <w:sz w:val="18"/>
          <w:vertAlign w:val="superscript"/>
        </w:rPr>
        <w:t>16</w:t>
      </w:r>
      <w:r>
        <w:rPr>
          <w:sz w:val="24"/>
        </w:rPr>
        <w:t xml:space="preserve"> (3) substance use disorder treatment dropout (DATOS cohort, SAMHSA registry; 6 datasets covering opioid, alcohol, cocaine, cannabis, and residential programmes; N=75,000),</w:t>
      </w:r>
      <w:r>
        <w:rPr>
          <w:sz w:val="18"/>
          <w:vertAlign w:val="superscript"/>
        </w:rPr>
        <w:t>17</w:t>
      </w:r>
      <w:r>
        <w:rPr>
          <w:sz w:val="24"/>
        </w:rPr>
        <w:t xml:space="preserve"> (4) cardiac rehabilitation dropout (EUROASPIRE-derived cohorts; 5 datasets covering Phase I-III and post-MI/post-CABG; N=34,200),</w:t>
      </w:r>
      <w:r>
        <w:rPr>
          <w:sz w:val="18"/>
          <w:vertAlign w:val="superscript"/>
        </w:rPr>
        <w:t>18</w:t>
      </w:r>
      <w:r>
        <w:rPr>
          <w:sz w:val="24"/>
        </w:rPr>
        <w:t xml:space="preserve"> and (5) clinical trial participant dropout (oncology, cardiovascular, psychiatric, diabetes, and vaccine RCTs; 5 datasets, N=99,000).</w:t>
      </w:r>
      <w:r>
        <w:rPr>
          <w:sz w:val="18"/>
          <w:vertAlign w:val="superscript"/>
        </w:rPr>
        <w:t>9</w:t>
      </w:r>
      <w:r>
        <w:rPr>
          <w:sz w:val="24"/>
        </w:rPr>
        <w:t xml:space="preserve"> Total comparator sample: 27 datasets, N=787,882. Combined with TB data, the total analytical sample comprised 32 datasets and N=927,352 treatment episodes.</w:t>
      </w:r>
    </w:p>
    <w:p>
      <w:pPr>
        <w:pStyle w:val="Heading3"/>
      </w:pPr>
      <w:r>
        <w:t>Weibull Distribution Fitting</w:t>
      </w:r>
    </w:p>
    <w:p>
      <w:pPr>
        <w:spacing w:before="0" w:after="0" w:line="480" w:lineRule="auto"/>
      </w:pPr>
      <w:r>
        <w:rPr>
          <w:sz w:val="24"/>
        </w:rPr>
        <w:t>The two-parameter Weibull survival function S(t) = exp(-(t/λ)^k) was fitted to each dataset, where k is the shape parameter determining the hazard trajectory and λ is the scale parameter (characteristic life in months). The corresponding hazard function is h(t) = (k/λ)(t/λ)^(k-1), which is increasing for k&gt;1, decreasing for k&lt;1, and constant for k=1.</w:t>
      </w:r>
      <w:r>
        <w:rPr>
          <w:sz w:val="18"/>
          <w:vertAlign w:val="superscript"/>
        </w:rPr>
        <w:t>7,8</w:t>
      </w:r>
      <w:r>
        <w:rPr>
          <w:sz w:val="24"/>
        </w:rPr>
      </w:r>
    </w:p>
    <w:p>
      <w:pPr>
        <w:spacing w:before="0" w:after="0" w:line="480" w:lineRule="auto"/>
      </w:pPr>
      <w:r>
        <w:rPr>
          <w:sz w:val="24"/>
        </w:rPr>
        <w:t>Parameters were estimated by linearised regression on the Weibull probability plot. Taking the double logarithm of the survival function yields: ln(-ln(S(t))) = k·ln(t) - k·ln(λ), which is linear in ln(t) with slope k and intercept -k·ln(λ). This linearisation permits visual assessment of goodness-of-fit and direct estimation of both parameters from the regression slope and intercept. Survival probabilities S(t) were read from published Kaplan-Meier curves at regular time intervals using digitisation software where necessary.</w:t>
      </w:r>
    </w:p>
    <w:p>
      <w:pPr>
        <w:spacing w:before="0" w:after="0" w:line="480" w:lineRule="auto"/>
      </w:pPr>
      <w:r>
        <w:rPr>
          <w:sz w:val="24"/>
        </w:rPr>
        <w:t>Goodness-of-fit was assessed by the coefficient of determination (R²) on the linearised Weibull probability plot. Bootstrap confidence intervals for k were computed using 1,000 non-parametric resamples with replacement from the observed survival time points.</w:t>
      </w:r>
    </w:p>
    <w:p>
      <w:pPr>
        <w:pStyle w:val="Heading3"/>
      </w:pPr>
      <w:r>
        <w:t>Statistical Analysis</w:t>
      </w:r>
    </w:p>
    <w:p>
      <w:pPr>
        <w:spacing w:before="0" w:after="0" w:line="480" w:lineRule="auto"/>
      </w:pPr>
      <w:r>
        <w:rPr>
          <w:sz w:val="24"/>
        </w:rPr>
        <w:t>All analyses were performed in Python 3.11 using SciPy 1.11 for optimisation, NumPy 1.26 for numerical computation, and Matplotlib 3.8 for visualisation. A two-sided significance level of 0.05 was used for bootstrap confidence intervals. The primary outcome was the Weibull shape parameter k, classified as IFR (k&gt;1), DFR (k&lt;1), or constant hazard (k=1). The clinical significance threshold was defined as whether the entire 95% confidence interval for k fell above or below 1. Code and data are available at the project repository (https://github.com/bougtoir/weibull-6domain-integrated).</w:t>
      </w:r>
    </w:p>
    <w:p>
      <w:pPr>
        <w:pStyle w:val="Heading1"/>
        <w:spacing w:before="240" w:after="120" w:line="480" w:lineRule="auto"/>
      </w:pPr>
      <w:r>
        <w:t>Results</w:t>
      </w:r>
    </w:p>
    <w:p>
      <w:pPr>
        <w:pStyle w:val="Heading2"/>
      </w:pPr>
      <w:r>
        <w:t>TB Treatment Dropout: IFR Pattern</w:t>
      </w:r>
    </w:p>
    <w:p>
      <w:pPr>
        <w:spacing w:before="0" w:after="0" w:line="480" w:lineRule="auto"/>
      </w:pPr>
      <w:r>
        <w:rPr>
          <w:sz w:val="24"/>
        </w:rPr>
        <w:t>All five TB national programme datasets yielded Weibull shape parameter k&gt;1 (range: 1.22-1.31, mean 1.26), indicating an increasing failure rate (IFR) pattern (Table 1, Fig. 1). The 95% confidence intervals for all five programmes excluded k=1.0 at the lower bound (minimum lower CI: 1.09 for India), confirming that the IFR classification is statistically robust.</w:t>
      </w:r>
    </w:p>
    <w:p>
      <w:pPr>
        <w:spacing w:before="0" w:after="0" w:line="480" w:lineRule="auto"/>
      </w:pPr>
      <w:r>
        <w:rPr>
          <w:sz w:val="24"/>
        </w:rPr>
        <w:t>Dropout hazard increases progressively over the 6-month treatment course (Fig. 2). The Weibull model showed excellent fit across all datasets (R² range: 0.9918-0.9945, median 0.9932). Ethiopia showed the highest k (1.31), indicating the steepest hazard increase, while India showed the lowest (1.22). The remarkably narrow k range (coefficient of variation: 2.8%) across geographically, ethnically, and programmatically diverse settings suggests that the IFR pattern is an intrinsic property of fixed-duration TB treatment rather than a context-specific phenomenon.</w:t>
      </w:r>
    </w:p>
    <w:p>
      <w:pPr>
        <w:spacing w:before="0" w:after="0" w:line="480" w:lineRule="auto"/>
      </w:pPr>
      <w:r>
        <w:rPr>
          <w:sz w:val="24"/>
        </w:rPr>
        <w:t>The scale parameter λ ranged from 5.18 to 5.82 months, consistent with the 6-month treatment duration. The Weibull characteristic life (λ) represents the time at which 63.2% of eventual dropouts have occurred, indicating that the majority of dropout events concentrate in the final months of treatment.</w:t>
      </w:r>
    </w:p>
    <w:p>
      <w:pPr>
        <w:spacing w:before="360" w:after="0" w:line="480" w:lineRule="auto"/>
      </w:pPr>
      <w:r>
        <w:rPr>
          <w:b/>
          <w:sz w:val="24"/>
        </w:rPr>
        <w:t xml:space="preserve">Table 1. </w:t>
      </w:r>
      <w:r>
        <w:rPr>
          <w:sz w:val="24"/>
        </w:rPr>
        <w:t>Weibull parameters for TB treatment dropout across five national programmes.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b/>
              </w:rPr>
              <w:t>Programme</w:t>
            </w:r>
          </w:p>
        </w:tc>
        <w:tc>
          <w:tcPr>
            <w:tcW w:type="dxa" w:w="1814"/>
          </w:tcPr>
          <w:p>
            <w:r>
              <w:rPr>
                <w:b/>
              </w:rPr>
              <w:t>N</w:t>
            </w:r>
          </w:p>
        </w:tc>
        <w:tc>
          <w:tcPr>
            <w:tcW w:type="dxa" w:w="1814"/>
          </w:tcPr>
          <w:p>
            <w:r>
              <w:rPr>
                <w:b/>
              </w:rPr>
              <w:t>k (95% CI)</w:t>
            </w:r>
          </w:p>
        </w:tc>
        <w:tc>
          <w:tcPr>
            <w:tcW w:type="dxa" w:w="1814"/>
          </w:tcPr>
          <w:p>
            <w:r>
              <w:rPr>
                <w:b/>
              </w:rPr>
              <w:t>λ (months)</w:t>
            </w:r>
          </w:p>
        </w:tc>
        <w:tc>
          <w:tcPr>
            <w:tcW w:type="dxa" w:w="1814"/>
          </w:tcPr>
          <w:p>
            <w:r>
              <w:rPr>
                <w:b/>
              </w:rPr>
              <w:t>R²</w:t>
            </w:r>
          </w:p>
        </w:tc>
      </w:tr>
      <w:tr>
        <w:tc>
          <w:tcPr>
            <w:tcW w:type="dxa" w:w="1814"/>
          </w:tcPr>
          <w:p>
            <w:r>
              <w:t>Ethiopia (Nationwide)</w:t>
            </w:r>
          </w:p>
        </w:tc>
        <w:tc>
          <w:tcPr>
            <w:tcW w:type="dxa" w:w="1814"/>
          </w:tcPr>
          <w:p>
            <w:r>
              <w:t>18,420</w:t>
            </w:r>
          </w:p>
        </w:tc>
        <w:tc>
          <w:tcPr>
            <w:tcW w:type="dxa" w:w="1814"/>
          </w:tcPr>
          <w:p>
            <w:r>
              <w:t>1.31 (1.18-1.44)</w:t>
            </w:r>
          </w:p>
        </w:tc>
        <w:tc>
          <w:tcPr>
            <w:tcW w:type="dxa" w:w="1814"/>
          </w:tcPr>
          <w:p>
            <w:r>
              <w:t>5.82</w:t>
            </w:r>
          </w:p>
        </w:tc>
        <w:tc>
          <w:tcPr>
            <w:tcW w:type="dxa" w:w="1814"/>
          </w:tcPr>
          <w:p>
            <w:r>
              <w:t>0.9945</w:t>
            </w:r>
          </w:p>
        </w:tc>
      </w:tr>
      <w:tr>
        <w:tc>
          <w:tcPr>
            <w:tcW w:type="dxa" w:w="1814"/>
          </w:tcPr>
          <w:p>
            <w:r>
              <w:t>South Africa (KwaZulu-Natal)</w:t>
            </w:r>
          </w:p>
        </w:tc>
        <w:tc>
          <w:tcPr>
            <w:tcW w:type="dxa" w:w="1814"/>
          </w:tcPr>
          <w:p>
            <w:r>
              <w:t>12,350</w:t>
            </w:r>
          </w:p>
        </w:tc>
        <w:tc>
          <w:tcPr>
            <w:tcW w:type="dxa" w:w="1814"/>
          </w:tcPr>
          <w:p>
            <w:r>
              <w:t>1.28 (1.14-1.41)</w:t>
            </w:r>
          </w:p>
        </w:tc>
        <w:tc>
          <w:tcPr>
            <w:tcW w:type="dxa" w:w="1814"/>
          </w:tcPr>
          <w:p>
            <w:r>
              <w:t>5.45</w:t>
            </w:r>
          </w:p>
        </w:tc>
        <w:tc>
          <w:tcPr>
            <w:tcW w:type="dxa" w:w="1814"/>
          </w:tcPr>
          <w:p>
            <w:r>
              <w:t>0.9932</w:t>
            </w:r>
          </w:p>
        </w:tc>
      </w:tr>
      <w:tr>
        <w:tc>
          <w:tcPr>
            <w:tcW w:type="dxa" w:w="1814"/>
          </w:tcPr>
          <w:p>
            <w:r>
              <w:t>India (RNTCP)</w:t>
            </w:r>
          </w:p>
        </w:tc>
        <w:tc>
          <w:tcPr>
            <w:tcW w:type="dxa" w:w="1814"/>
          </w:tcPr>
          <w:p>
            <w:r>
              <w:t>45,000</w:t>
            </w:r>
          </w:p>
        </w:tc>
        <w:tc>
          <w:tcPr>
            <w:tcW w:type="dxa" w:w="1814"/>
          </w:tcPr>
          <w:p>
            <w:r>
              <w:t>1.22 (1.09-1.36)</w:t>
            </w:r>
          </w:p>
        </w:tc>
        <w:tc>
          <w:tcPr>
            <w:tcW w:type="dxa" w:w="1814"/>
          </w:tcPr>
          <w:p>
            <w:r>
              <w:t>5.18</w:t>
            </w:r>
          </w:p>
        </w:tc>
        <w:tc>
          <w:tcPr>
            <w:tcW w:type="dxa" w:w="1814"/>
          </w:tcPr>
          <w:p>
            <w:r>
              <w:t>0.9918</w:t>
            </w:r>
          </w:p>
        </w:tc>
      </w:tr>
      <w:tr>
        <w:tc>
          <w:tcPr>
            <w:tcW w:type="dxa" w:w="1814"/>
          </w:tcPr>
          <w:p>
            <w:r>
              <w:t>Brazil (SINAN)</w:t>
            </w:r>
          </w:p>
        </w:tc>
        <w:tc>
          <w:tcPr>
            <w:tcW w:type="dxa" w:w="1814"/>
          </w:tcPr>
          <w:p>
            <w:r>
              <w:t>28,500</w:t>
            </w:r>
          </w:p>
        </w:tc>
        <w:tc>
          <w:tcPr>
            <w:tcW w:type="dxa" w:w="1814"/>
          </w:tcPr>
          <w:p>
            <w:r>
              <w:t>1.26 (1.13-1.39)</w:t>
            </w:r>
          </w:p>
        </w:tc>
        <w:tc>
          <w:tcPr>
            <w:tcW w:type="dxa" w:w="1814"/>
          </w:tcPr>
          <w:p>
            <w:r>
              <w:t>5.55</w:t>
            </w:r>
          </w:p>
        </w:tc>
        <w:tc>
          <w:tcPr>
            <w:tcW w:type="dxa" w:w="1814"/>
          </w:tcPr>
          <w:p>
            <w:r>
              <w:t>0.9928</w:t>
            </w:r>
          </w:p>
        </w:tc>
      </w:tr>
      <w:tr>
        <w:tc>
          <w:tcPr>
            <w:tcW w:type="dxa" w:w="1814"/>
          </w:tcPr>
          <w:p>
            <w:r>
              <w:t>China (National TB Programme)</w:t>
            </w:r>
          </w:p>
        </w:tc>
        <w:tc>
          <w:tcPr>
            <w:tcW w:type="dxa" w:w="1814"/>
          </w:tcPr>
          <w:p>
            <w:r>
              <w:t>35,200</w:t>
            </w:r>
          </w:p>
        </w:tc>
        <w:tc>
          <w:tcPr>
            <w:tcW w:type="dxa" w:w="1814"/>
          </w:tcPr>
          <w:p>
            <w:r>
              <w:t>1.24 (1.11-1.38)</w:t>
            </w:r>
          </w:p>
        </w:tc>
        <w:tc>
          <w:tcPr>
            <w:tcW w:type="dxa" w:w="1814"/>
          </w:tcPr>
          <w:p>
            <w:r>
              <w:t>5.35</w:t>
            </w:r>
          </w:p>
        </w:tc>
        <w:tc>
          <w:tcPr>
            <w:tcW w:type="dxa" w:w="1814"/>
          </w:tcPr>
          <w:p>
            <w:r>
              <w:t>0.9935</w:t>
            </w:r>
          </w:p>
        </w:tc>
      </w:tr>
    </w:tbl>
    <w:p/>
    <w:p>
      <w:pPr>
        <w:pStyle w:val="Heading2"/>
      </w:pPr>
      <w:r>
        <w:t>Comparator Domains: Universal DFR Pattern</w:t>
      </w:r>
    </w:p>
    <w:p>
      <w:pPr>
        <w:spacing w:before="0" w:after="0" w:line="480" w:lineRule="auto"/>
      </w:pPr>
      <w:r>
        <w:rPr>
          <w:sz w:val="24"/>
        </w:rPr>
        <w:t>In striking contrast to TB, all 27 datasets across five comparator domains yielded k&lt;1, demonstrating a universal decreasing failure rate (DFR) pattern (Table 2, Fig. 1). Domain-level mean k values were: HIV/ART 0.597, substance use 0.639, cardiac rehabilitation 0.689, clinical trials 0.708, and antipsychotic 0.857. All 27 individual dataset k estimates had upper 95% confidence intervals below 1.0 (maximum upper CI: 0.958 for CATIE-Olanzapine), confirming universal DFR classification.</w:t>
      </w:r>
    </w:p>
    <w:p>
      <w:pPr>
        <w:spacing w:before="0" w:after="0" w:line="480" w:lineRule="auto"/>
      </w:pPr>
      <w:r>
        <w:rPr>
          <w:sz w:val="24"/>
        </w:rPr>
        <w:t>Dropout risk in these domains is highest in the early treatment period and decreases monotonically over time (Fig. 3). HIV/ART showed the strongest DFR effect (lowest k), consistent with well-documented early attrition in ART programmes where patients with barriers to care are lost within the first months.</w:t>
      </w:r>
      <w:r>
        <w:rPr>
          <w:sz w:val="18"/>
          <w:vertAlign w:val="superscript"/>
        </w:rPr>
        <w:t>15,19</w:t>
      </w:r>
      <w:r>
        <w:rPr>
          <w:sz w:val="24"/>
        </w:rPr>
        <w:t xml:space="preserve"> Antipsychotic treatment showed the weakest DFR (highest k, approaching constant hazard), possibly reflecting the chronic relapsing nature of schizophrenia where relapse triggers discontinuation at any time point.</w:t>
      </w:r>
      <w:r>
        <w:rPr>
          <w:sz w:val="18"/>
          <w:vertAlign w:val="superscript"/>
        </w:rPr>
        <w:t>16</w:t>
      </w:r>
      <w:r>
        <w:rPr>
          <w:sz w:val="24"/>
        </w:rPr>
      </w:r>
    </w:p>
    <w:p>
      <w:pPr>
        <w:spacing w:before="360" w:after="0" w:line="480" w:lineRule="auto"/>
      </w:pPr>
      <w:r>
        <w:rPr>
          <w:b/>
          <w:sz w:val="24"/>
        </w:rPr>
        <w:t xml:space="preserve">Table 2. </w:t>
      </w:r>
      <w:r>
        <w:rPr>
          <w:sz w:val="24"/>
        </w:rPr>
        <w:t>Summary of Weibull shape parameters across five comparator domains.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b/>
              </w:rPr>
              <w:t>Domain</w:t>
            </w:r>
          </w:p>
        </w:tc>
        <w:tc>
          <w:tcPr>
            <w:tcW w:type="dxa" w:w="1814"/>
          </w:tcPr>
          <w:p>
            <w:r>
              <w:rPr>
                <w:b/>
              </w:rPr>
              <w:t>Datasets</w:t>
            </w:r>
          </w:p>
        </w:tc>
        <w:tc>
          <w:tcPr>
            <w:tcW w:type="dxa" w:w="1814"/>
          </w:tcPr>
          <w:p>
            <w:r>
              <w:rPr>
                <w:b/>
              </w:rPr>
              <w:t>Total N</w:t>
            </w:r>
          </w:p>
        </w:tc>
        <w:tc>
          <w:tcPr>
            <w:tcW w:type="dxa" w:w="1814"/>
          </w:tcPr>
          <w:p>
            <w:r>
              <w:rPr>
                <w:b/>
              </w:rPr>
              <w:t>Mean k</w:t>
            </w:r>
          </w:p>
        </w:tc>
        <w:tc>
          <w:tcPr>
            <w:tcW w:type="dxa" w:w="1814"/>
          </w:tcPr>
          <w:p>
            <w:r>
              <w:rPr>
                <w:b/>
              </w:rPr>
              <w:t>k Range</w:t>
            </w:r>
          </w:p>
        </w:tc>
      </w:tr>
      <w:tr>
        <w:tc>
          <w:tcPr>
            <w:tcW w:type="dxa" w:w="1814"/>
          </w:tcPr>
          <w:p>
            <w:r>
              <w:t>HIV/ART</w:t>
            </w:r>
          </w:p>
        </w:tc>
        <w:tc>
          <w:tcPr>
            <w:tcW w:type="dxa" w:w="1814"/>
          </w:tcPr>
          <w:p>
            <w:r>
              <w:t>5</w:t>
            </w:r>
          </w:p>
        </w:tc>
        <w:tc>
          <w:tcPr>
            <w:tcW w:type="dxa" w:w="1814"/>
          </w:tcPr>
          <w:p>
            <w:r>
              <w:t>516,000</w:t>
            </w:r>
          </w:p>
        </w:tc>
        <w:tc>
          <w:tcPr>
            <w:tcW w:type="dxa" w:w="1814"/>
          </w:tcPr>
          <w:p>
            <w:r>
              <w:t>0.597</w:t>
            </w:r>
          </w:p>
        </w:tc>
        <w:tc>
          <w:tcPr>
            <w:tcW w:type="dxa" w:w="1814"/>
          </w:tcPr>
          <w:p>
            <w:r>
              <w:t>0.582-0.627</w:t>
            </w:r>
          </w:p>
        </w:tc>
      </w:tr>
      <w:tr>
        <w:tc>
          <w:tcPr>
            <w:tcW w:type="dxa" w:w="1814"/>
          </w:tcPr>
          <w:p>
            <w:r>
              <w:t>Antipsychotic</w:t>
            </w:r>
          </w:p>
        </w:tc>
        <w:tc>
          <w:tcPr>
            <w:tcW w:type="dxa" w:w="1814"/>
          </w:tcPr>
          <w:p>
            <w:r>
              <w:t>6</w:t>
            </w:r>
          </w:p>
        </w:tc>
        <w:tc>
          <w:tcPr>
            <w:tcW w:type="dxa" w:w="1814"/>
          </w:tcPr>
          <w:p>
            <w:r>
              <w:t>63,682</w:t>
            </w:r>
          </w:p>
        </w:tc>
        <w:tc>
          <w:tcPr>
            <w:tcW w:type="dxa" w:w="1814"/>
          </w:tcPr>
          <w:p>
            <w:r>
              <w:t>0.857</w:t>
            </w:r>
          </w:p>
        </w:tc>
        <w:tc>
          <w:tcPr>
            <w:tcW w:type="dxa" w:w="1814"/>
          </w:tcPr>
          <w:p>
            <w:r>
              <w:t>0.683-0.958</w:t>
            </w:r>
          </w:p>
        </w:tc>
      </w:tr>
      <w:tr>
        <w:tc>
          <w:tcPr>
            <w:tcW w:type="dxa" w:w="1814"/>
          </w:tcPr>
          <w:p>
            <w:r>
              <w:t>Substance Use</w:t>
            </w:r>
          </w:p>
        </w:tc>
        <w:tc>
          <w:tcPr>
            <w:tcW w:type="dxa" w:w="1814"/>
          </w:tcPr>
          <w:p>
            <w:r>
              <w:t>6</w:t>
            </w:r>
          </w:p>
        </w:tc>
        <w:tc>
          <w:tcPr>
            <w:tcW w:type="dxa" w:w="1814"/>
          </w:tcPr>
          <w:p>
            <w:r>
              <w:t>75,000</w:t>
            </w:r>
          </w:p>
        </w:tc>
        <w:tc>
          <w:tcPr>
            <w:tcW w:type="dxa" w:w="1814"/>
          </w:tcPr>
          <w:p>
            <w:r>
              <w:t>0.639</w:t>
            </w:r>
          </w:p>
        </w:tc>
        <w:tc>
          <w:tcPr>
            <w:tcW w:type="dxa" w:w="1814"/>
          </w:tcPr>
          <w:p>
            <w:r>
              <w:t>0.511-0.733</w:t>
            </w:r>
          </w:p>
        </w:tc>
      </w:tr>
      <w:tr>
        <w:tc>
          <w:tcPr>
            <w:tcW w:type="dxa" w:w="1814"/>
          </w:tcPr>
          <w:p>
            <w:r>
              <w:t>Cardiac Rehab</w:t>
            </w:r>
          </w:p>
        </w:tc>
        <w:tc>
          <w:tcPr>
            <w:tcW w:type="dxa" w:w="1814"/>
          </w:tcPr>
          <w:p>
            <w:r>
              <w:t>5</w:t>
            </w:r>
          </w:p>
        </w:tc>
        <w:tc>
          <w:tcPr>
            <w:tcW w:type="dxa" w:w="1814"/>
          </w:tcPr>
          <w:p>
            <w:r>
              <w:t>34,200</w:t>
            </w:r>
          </w:p>
        </w:tc>
        <w:tc>
          <w:tcPr>
            <w:tcW w:type="dxa" w:w="1814"/>
          </w:tcPr>
          <w:p>
            <w:r>
              <w:t>0.689</w:t>
            </w:r>
          </w:p>
        </w:tc>
        <w:tc>
          <w:tcPr>
            <w:tcW w:type="dxa" w:w="1814"/>
          </w:tcPr>
          <w:p>
            <w:r>
              <w:t>0.613-0.775</w:t>
            </w:r>
          </w:p>
        </w:tc>
      </w:tr>
      <w:tr>
        <w:tc>
          <w:tcPr>
            <w:tcW w:type="dxa" w:w="1814"/>
          </w:tcPr>
          <w:p>
            <w:r>
              <w:t>Clinical Trial</w:t>
            </w:r>
          </w:p>
        </w:tc>
        <w:tc>
          <w:tcPr>
            <w:tcW w:type="dxa" w:w="1814"/>
          </w:tcPr>
          <w:p>
            <w:r>
              <w:t>5</w:t>
            </w:r>
          </w:p>
        </w:tc>
        <w:tc>
          <w:tcPr>
            <w:tcW w:type="dxa" w:w="1814"/>
          </w:tcPr>
          <w:p>
            <w:r>
              <w:t>99,000</w:t>
            </w:r>
          </w:p>
        </w:tc>
        <w:tc>
          <w:tcPr>
            <w:tcW w:type="dxa" w:w="1814"/>
          </w:tcPr>
          <w:p>
            <w:r>
              <w:t>0.708</w:t>
            </w:r>
          </w:p>
        </w:tc>
        <w:tc>
          <w:tcPr>
            <w:tcW w:type="dxa" w:w="1814"/>
          </w:tcPr>
          <w:p>
            <w:r>
              <w:t>0.679-0.742</w:t>
            </w:r>
          </w:p>
        </w:tc>
      </w:tr>
    </w:tbl>
    <w:p/>
    <w:p>
      <w:pPr>
        <w:pStyle w:val="Heading2"/>
      </w:pPr>
      <w:r>
        <w:t>The Fixed-Duration versus Open-Ended Dichotomy</w:t>
      </w:r>
    </w:p>
    <w:p>
      <w:pPr>
        <w:spacing w:before="0" w:after="0" w:line="480" w:lineRule="auto"/>
      </w:pPr>
      <w:r>
        <w:rPr>
          <w:sz w:val="24"/>
        </w:rPr>
        <w:t>The central finding is a clear dichotomy between TB (fixed-duration, 6 months) and all five comparator domains (open-ended/indefinite duration). TB is the sole domain showing IFR (k=1.22-1.31), while all open-ended treatments show DFR (k=0.511-0.958). No overlap exists between the two groups: the minimum TB k (1.22) exceeds the maximum comparator k (0.958) by a substantial margin. This separation is visualised in Figure 3, where the TB hazard function rises over time while all comparator domain hazard functions decline. The gap between k=0.958 and k=1.22 represents not merely a quantitative difference but a qualitative reversal in the direction of risk over time.</w:t>
      </w:r>
    </w:p>
    <w:p>
      <w:pPr>
        <w:spacing w:before="0" w:after="0" w:line="480" w:lineRule="auto"/>
      </w:pPr>
      <w:r>
        <w:rPr>
          <w:sz w:val="24"/>
        </w:rPr>
        <w:t>To quantify the clinical impact, we computed the hazard ratio between month 5 and month 1 for TB using the mean parameters (k=1.26, λ=5.47): h(5)/h(1) = (5/1)^(k-1) = 5^0.26 = 1.50. This indicates that TB dropout hazard at month 5 is 50% higher than at month 1. For comparison, HIV/ART (k=0.597) yields h(5)/h(1) = 5^(-0.403) = 0.47, meaning hazard at month 5 is less than half that at month 1. These opposing trajectories demand fundamentally different intervention timing.</w:t>
      </w:r>
    </w:p>
    <w:p>
      <w:pPr>
        <w:pStyle w:val="Heading1"/>
        <w:spacing w:before="240" w:after="120" w:line="480" w:lineRule="auto"/>
      </w:pPr>
      <w:r>
        <w:t>Discussion</w:t>
      </w:r>
    </w:p>
    <w:p>
      <w:pPr>
        <w:spacing w:before="0" w:after="0" w:line="480" w:lineRule="auto"/>
      </w:pPr>
      <w:r>
        <w:rPr>
          <w:sz w:val="24"/>
        </w:rPr>
        <w:t>This six-domain comparative study reveals that TB treatment dropout follows a fundamentally different hazard pattern from all other clinical domains examined. The increasing failure rate (IFR, k&gt;1) observed consistently across five national TB programmes represents a unique temporal signature with important implications for retention intervention design.</w:t>
      </w:r>
    </w:p>
    <w:p>
      <w:pPr>
        <w:pStyle w:val="Heading2"/>
      </w:pPr>
      <w:r>
        <w:t>Why TB Shows Increasing Hazard</w:t>
      </w:r>
    </w:p>
    <w:p>
      <w:pPr>
        <w:spacing w:before="0" w:after="0" w:line="480" w:lineRule="auto"/>
      </w:pPr>
      <w:r>
        <w:rPr>
          <w:sz w:val="24"/>
        </w:rPr>
        <w:t>The IFR pattern in TB treatment can be explained by three interconnected mechanisms specific to fixed-duration treatment regimens:</w:t>
      </w:r>
    </w:p>
    <w:p>
      <w:pPr>
        <w:spacing w:before="0" w:after="0" w:line="480" w:lineRule="auto"/>
      </w:pPr>
      <w:r>
        <w:rPr>
          <w:sz w:val="24"/>
        </w:rPr>
        <w:t>First, cumulative treatment fatigue. The standard 6-month regimen imposes a substantial pill burden (daily multi-drug therapy), and the psychological weight of this burden accumulates over time.</w:t>
      </w:r>
      <w:r>
        <w:rPr>
          <w:sz w:val="18"/>
          <w:vertAlign w:val="superscript"/>
        </w:rPr>
        <w:t>4</w:t>
      </w:r>
      <w:r>
        <w:rPr>
          <w:sz w:val="24"/>
        </w:rPr>
        <w:t xml:space="preserve"> Unlike open-ended treatments where patients may adapt to a lifelong routine, TB patients face a fixed endpoint that paradoxically becomes harder to reach as fatigue accumulates.</w:t>
      </w:r>
    </w:p>
    <w:p>
      <w:pPr>
        <w:spacing w:before="0" w:after="0" w:line="480" w:lineRule="auto"/>
      </w:pPr>
      <w:r>
        <w:rPr>
          <w:sz w:val="24"/>
        </w:rPr>
        <w:t>Second, symptom resolution preceding treatment completion. Most TB patients experience substantial clinical improvement within the first 2 months (intensive phase), leading to a perception of cure before microbiological sterilisation is achieved.</w:t>
      </w:r>
      <w:r>
        <w:rPr>
          <w:sz w:val="18"/>
          <w:vertAlign w:val="superscript"/>
        </w:rPr>
        <w:t>20,21</w:t>
      </w:r>
      <w:r>
        <w:rPr>
          <w:sz w:val="24"/>
        </w:rPr>
        <w:t xml:space="preserve"> This creates a growing motivation gap in the continuation phase (months 3-6), where patients feel well but must continue taking medications with potential side effects.</w:t>
      </w:r>
    </w:p>
    <w:p>
      <w:pPr>
        <w:spacing w:before="0" w:after="0" w:line="480" w:lineRule="auto"/>
      </w:pPr>
      <w:r>
        <w:rPr>
          <w:sz w:val="24"/>
        </w:rPr>
        <w:t>Third, adverse effect accumulation. Hepatotoxicity, peripheral neuropathy, and gastrointestinal disturbances may worsen or become intolerable with prolonged exposure, creating an escalating push toward discontinuation.</w:t>
      </w:r>
      <w:r>
        <w:rPr>
          <w:sz w:val="18"/>
          <w:vertAlign w:val="superscript"/>
        </w:rPr>
        <w:t>22</w:t>
      </w:r>
      <w:r>
        <w:rPr>
          <w:sz w:val="24"/>
        </w:rPr>
      </w:r>
    </w:p>
    <w:p>
      <w:pPr>
        <w:pStyle w:val="Heading2"/>
      </w:pPr>
      <w:r>
        <w:t>Contrast with Open-Ended Treatments</w:t>
      </w:r>
    </w:p>
    <w:p>
      <w:pPr>
        <w:spacing w:before="0" w:after="0" w:line="480" w:lineRule="auto"/>
      </w:pPr>
      <w:r>
        <w:rPr>
          <w:sz w:val="24"/>
        </w:rPr>
        <w:t>The universal DFR pattern (k&lt;1) in open-ended treatments reflects a fundamentally different mechanism: early selection effects, also known as frailty selection in demographic theory.</w:t>
      </w:r>
      <w:r>
        <w:rPr>
          <w:sz w:val="18"/>
          <w:vertAlign w:val="superscript"/>
        </w:rPr>
        <w:t>23</w:t>
      </w:r>
      <w:r>
        <w:rPr>
          <w:sz w:val="24"/>
        </w:rPr>
        <w:t xml:space="preserve"> In open-ended treatments, patients who are most susceptible to dropout (due to intolerance, lack of perceived benefit, social instability, or psychosocial barriers) disproportionately exit the cohort early. The remaining "survivor" population becomes progressively more adherent over time, producing the characteristic DFR pattern. This healthy adherer effect is well documented in HIV/ART programmes, where patients retained beyond 12 months have dramatically lower subsequent dropout rates.</w:t>
      </w:r>
      <w:r>
        <w:rPr>
          <w:sz w:val="18"/>
          <w:vertAlign w:val="superscript"/>
        </w:rPr>
        <w:t>15,19</w:t>
      </w:r>
      <w:r>
        <w:rPr>
          <w:sz w:val="24"/>
        </w:rPr>
      </w:r>
    </w:p>
    <w:p>
      <w:pPr>
        <w:spacing w:before="0" w:after="0" w:line="480" w:lineRule="auto"/>
      </w:pPr>
      <w:r>
        <w:rPr>
          <w:sz w:val="24"/>
        </w:rPr>
        <w:t>In contrast, TB's fixed 6-month duration prevents this selection equilibrium from establishing. The treatment ends before high-risk individuals are fully filtered out of the cohort. Moreover, the mechanisms driving TB dropout are cumulative rather than selective: treatment fatigue, adverse effects, and the perception of cure all intensify with time, pushing even initially adherent patients toward dropout. This produces the opposite of selection — a progressive accumulation of dropout pressure that manifests as increasing hazard.</w:t>
      </w:r>
    </w:p>
    <w:p>
      <w:pPr>
        <w:spacing w:before="0" w:after="0" w:line="480" w:lineRule="auto"/>
      </w:pPr>
      <w:r>
        <w:rPr>
          <w:sz w:val="24"/>
        </w:rPr>
        <w:t>The magnitude of k provides a secondary insight. Among the five comparator domains, HIV/ART showed the lowest k (0.597, strongest DFR), consistent with the strongest early selection pressure in a context of severe structural barriers in sub-Saharan Africa.</w:t>
      </w:r>
      <w:r>
        <w:rPr>
          <w:sz w:val="18"/>
          <w:vertAlign w:val="superscript"/>
        </w:rPr>
        <w:t>15</w:t>
      </w:r>
      <w:r>
        <w:rPr>
          <w:sz w:val="24"/>
        </w:rPr>
        <w:t xml:space="preserve"> Antipsychotic treatment showed the highest k (0.857, weakest DFR), approaching constant hazard. This may reflect the episodic relapsing course of schizophrenia, where psychotic decompensation can trigger medication discontinuation at any point, partially counteracting the selection effect.</w:t>
      </w:r>
      <w:r>
        <w:rPr>
          <w:sz w:val="18"/>
          <w:vertAlign w:val="superscript"/>
        </w:rPr>
        <w:t>16</w:t>
      </w:r>
      <w:r>
        <w:rPr>
          <w:sz w:val="24"/>
        </w:rPr>
        <w:t xml:space="preserve"> These domain-specific k values suggest that the Weibull shape parameter captures meaningful clinical and behavioural heterogeneity across therapeutic contexts.</w:t>
      </w:r>
    </w:p>
    <w:p>
      <w:pPr>
        <w:pStyle w:val="Heading2"/>
      </w:pPr>
      <w:r>
        <w:t>Clinical Implications: Phase-Specific Retention Strategy</w:t>
      </w:r>
    </w:p>
    <w:p>
      <w:pPr>
        <w:spacing w:before="0" w:after="0" w:line="480" w:lineRule="auto"/>
      </w:pPr>
      <w:r>
        <w:rPr>
          <w:sz w:val="24"/>
        </w:rPr>
        <w:t>The IFR pattern provides a quantitative rationale for back-loaded retention interventions in TB programmes. This contrasts sharply with the front-loaded approach appropriate for open-ended treatments (where hazard is highest at initiation), and challenges the uniform adherence support model currently prevailing in most TB programmes.</w:t>
      </w:r>
      <w:r>
        <w:rPr>
          <w:sz w:val="18"/>
          <w:vertAlign w:val="superscript"/>
        </w:rPr>
        <w:t>5,6</w:t>
      </w:r>
      <w:r>
        <w:rPr>
          <w:sz w:val="24"/>
        </w:rPr>
        <w:t xml:space="preserve"> We propose a phase-specific framework based on the Weibull hazard trajectory:</w:t>
      </w:r>
    </w:p>
    <w:p>
      <w:pPr>
        <w:spacing w:before="0" w:after="0" w:line="480" w:lineRule="auto"/>
      </w:pPr>
      <w:r>
        <w:rPr>
          <w:sz w:val="24"/>
        </w:rPr>
        <w:t>Intensive phase (months 1-2): During this period, the hazard is at its lowest level (h(1)/h(6) = 0.62 for mean TB parameters). Standard directly observed therapy (DOTS) supervision, initial treatment literacy counselling, and adverse event monitoring are appropriate. Resources should be allocated to establish therapeutic alliance and identify patients with emerging risk factors for later dropout (substance use, housing instability, food insecurity).</w:t>
      </w:r>
      <w:r>
        <w:rPr>
          <w:sz w:val="18"/>
          <w:vertAlign w:val="superscript"/>
        </w:rPr>
        <w:t>6</w:t>
      </w:r>
      <w:r>
        <w:rPr>
          <w:sz w:val="24"/>
        </w:rPr>
      </w:r>
    </w:p>
    <w:p>
      <w:pPr>
        <w:spacing w:before="0" w:after="0" w:line="480" w:lineRule="auto"/>
      </w:pPr>
      <w:r>
        <w:rPr>
          <w:sz w:val="24"/>
        </w:rPr>
        <w:t>Transition point (month 2-3): The shift from intensive to continuation phase represents both a pharmacological transition (from 4 drugs to 2) and often a supervision transition (from daily to monthly clinic visits in many programmes). This is a critical window where the rising hazard begins to accelerate. A structured transition visit with motivational interviewing is recommended.</w:t>
      </w:r>
      <w:r>
        <w:rPr>
          <w:sz w:val="18"/>
          <w:vertAlign w:val="superscript"/>
        </w:rPr>
        <w:t>24</w:t>
      </w:r>
      <w:r>
        <w:rPr>
          <w:sz w:val="24"/>
        </w:rPr>
      </w:r>
    </w:p>
    <w:p>
      <w:pPr>
        <w:spacing w:before="0" w:after="0" w:line="480" w:lineRule="auto"/>
      </w:pPr>
      <w:r>
        <w:rPr>
          <w:sz w:val="24"/>
        </w:rPr>
        <w:t>Continuation phase (months 3-6): This is the highest-risk period where escalated engagement is essential. Evidence-based strategies include: digital adherence technologies (electronic pill boxes, SMS reminders, video-observed therapy),</w:t>
      </w:r>
      <w:r>
        <w:rPr>
          <w:sz w:val="18"/>
          <w:vertAlign w:val="superscript"/>
        </w:rPr>
        <w:t>25</w:t>
      </w:r>
      <w:r>
        <w:rPr>
          <w:sz w:val="24"/>
        </w:rPr>
        <w:t xml:space="preserve"> scheduled motivational interviewing at months 3 and 5,</w:t>
      </w:r>
      <w:r>
        <w:rPr>
          <w:sz w:val="18"/>
          <w:vertAlign w:val="superscript"/>
        </w:rPr>
        <w:t>24</w:t>
      </w:r>
      <w:r>
        <w:rPr>
          <w:sz w:val="24"/>
        </w:rPr>
        <w:t xml:space="preserve"> peer support group intensification,</w:t>
      </w:r>
      <w:r>
        <w:rPr>
          <w:sz w:val="18"/>
          <w:vertAlign w:val="superscript"/>
        </w:rPr>
        <w:t>26</w:t>
      </w:r>
      <w:r>
        <w:rPr>
          <w:sz w:val="24"/>
        </w:rPr>
        <w:t xml:space="preserve"> proactive outreach triggered by missed appointments,</w:t>
      </w:r>
      <w:r>
        <w:rPr>
          <w:sz w:val="18"/>
          <w:vertAlign w:val="superscript"/>
        </w:rPr>
        <w:t>27</w:t>
      </w:r>
      <w:r>
        <w:rPr>
          <w:sz w:val="24"/>
        </w:rPr>
        <w:t xml:space="preserve"> and conditional economic incentives or transport vouchers for the final 2 months. The Weibull model enables programmes to calculate the expected hazard at any time point (h(t) = (1.26/5.47)(t/5.47)^0.26), enabling precise resource allocation proportional to time-varying risk.</w:t>
      </w:r>
    </w:p>
    <w:p>
      <w:pPr>
        <w:spacing w:before="0" w:after="0" w:line="480" w:lineRule="auto"/>
      </w:pPr>
      <w:r>
        <w:rPr>
          <w:sz w:val="24"/>
        </w:rPr>
        <w:t>This back-loaded strategy inverts conventional adherence wisdom, which typically concentrates resources at treatment initiation based on the assumption of early attrition.</w:t>
      </w:r>
      <w:r>
        <w:rPr>
          <w:sz w:val="18"/>
          <w:vertAlign w:val="superscript"/>
        </w:rPr>
        <w:t>5</w:t>
      </w:r>
      <w:r>
        <w:rPr>
          <w:sz w:val="24"/>
        </w:rPr>
        <w:t xml:space="preserve"> The Weibull evidence demonstrates that for fixed-duration TB treatment, the opposite is required: the greatest risk of dropout occurs precisely when patients feel well and supervision is relaxed.</w:t>
      </w:r>
    </w:p>
    <w:p>
      <w:pPr>
        <w:pStyle w:val="Heading2"/>
      </w:pPr>
      <w:r>
        <w:t>Limitations</w:t>
      </w:r>
    </w:p>
    <w:p>
      <w:pPr>
        <w:spacing w:before="0" w:after="0" w:line="480" w:lineRule="auto"/>
      </w:pPr>
      <w:r>
        <w:rPr>
          <w:sz w:val="24"/>
        </w:rPr>
        <w:t>Several limitations should be noted. First, data were reconstructed from published curves rather than individual patient data, which limits precision. Second, the two-parameter Weibull assumes monotonic hazard; non-monotonic patterns (e.g., a brief initial dip followed by increase) cannot be captured. Third, definitions of dropout varied across studies (2-month vs 3-month absence threshold). Fourth, the comparator domains serve as contextual reference rather than formal statistical comparison, as heterogeneity in populations and settings precludes direct meta-analytic testing. Fifth, the TB data are from drug-susceptible TB programmes; MDR-TB (with 9-20 month regimens) may show different patterns.</w:t>
      </w:r>
      <w:r>
        <w:rPr>
          <w:sz w:val="18"/>
          <w:vertAlign w:val="superscript"/>
        </w:rPr>
        <w:t>28</w:t>
      </w:r>
      <w:r>
        <w:rPr>
          <w:sz w:val="24"/>
        </w:rPr>
      </w:r>
    </w:p>
    <w:p>
      <w:pPr>
        <w:pStyle w:val="Heading2"/>
      </w:pPr>
      <w:r>
        <w:t>Generalisability to Other Fixed-Duration Treatments</w:t>
      </w:r>
    </w:p>
    <w:p>
      <w:pPr>
        <w:spacing w:before="0" w:after="0" w:line="480" w:lineRule="auto"/>
      </w:pPr>
      <w:r>
        <w:rPr>
          <w:sz w:val="24"/>
        </w:rPr>
        <w:t>The fixed-duration mechanism underlying TB's IFR pattern may extend to other time-limited treatments. Shorter TB preventive therapy regimens (3HP: 3 months; 1HP: 1 month) represent natural experiments to test whether IFR magnitude correlates with treatment duration.</w:t>
      </w:r>
      <w:r>
        <w:rPr>
          <w:sz w:val="18"/>
          <w:vertAlign w:val="superscript"/>
        </w:rPr>
        <w:t>29</w:t>
      </w:r>
      <w:r>
        <w:rPr>
          <w:sz w:val="24"/>
        </w:rPr>
        <w:t xml:space="preserve"> Similarly, fixed-duration antibiotic courses for other infections, hepatitis C direct-acting antiviral regimens (8-12 weeks), and time-limited psychotherapy protocols may all exhibit IFR patterns of varying magnitude. The Weibull framework provides a unified quantitative tool for characterising and comparing these patterns across therapeutic contexts.</w:t>
      </w:r>
    </w:p>
    <w:p>
      <w:pPr>
        <w:pStyle w:val="Heading2"/>
      </w:pPr>
      <w:r>
        <w:t>Future Directions</w:t>
      </w:r>
    </w:p>
    <w:p>
      <w:pPr>
        <w:spacing w:before="0" w:after="0" w:line="480" w:lineRule="auto"/>
      </w:pPr>
      <w:r>
        <w:rPr>
          <w:sz w:val="24"/>
        </w:rPr>
        <w:t>Future studies should validate these findings using individual patient data from prospective cohorts, examine whether Weibull-informed phase-specific intervention timing improves retention outcomes in randomised controlled trials, and explore three-parameter Weibull or mixture models to capture potential non-monotonic patterns at the intensive-to-continuation phase transition.</w:t>
      </w:r>
    </w:p>
    <w:p>
      <w:pPr>
        <w:pStyle w:val="Heading1"/>
        <w:spacing w:before="240" w:after="120" w:line="480" w:lineRule="auto"/>
      </w:pPr>
      <w:r>
        <w:t>Conclusions</w:t>
      </w:r>
    </w:p>
    <w:p>
      <w:pPr>
        <w:spacing w:before="0" w:after="0" w:line="480" w:lineRule="auto"/>
      </w:pPr>
      <w:r>
        <w:rPr>
          <w:sz w:val="24"/>
        </w:rPr>
        <w:t>TB treatment dropout follows a unique increasing failure rate pattern (Weibull k=1.22-1.31) that is not observed in any of the five comparator open-ended treatment domains. This finding is consistent across five geographically diverse national programmes and reflects the distinctive dynamics of fixed-duration treatment: cumulative fatigue, symptom-cure discordance, and adverse effect accumulation. The Weibull framework provides a quantitative basis for designing back-loaded, phase-specific retention interventions concentrated in the continuation phase of TB treatment.</w:t>
      </w:r>
    </w:p>
    <w:p>
      <w:pPr>
        <w:pStyle w:val="Heading1"/>
        <w:spacing w:before="240" w:after="120" w:line="480" w:lineRule="auto"/>
      </w:pPr>
      <w:r>
        <w:t>Conflicts of Interest</w:t>
      </w:r>
    </w:p>
    <w:p>
      <w:pPr>
        <w:spacing w:before="0" w:after="0" w:line="480" w:lineRule="auto"/>
      </w:pPr>
      <w:r>
        <w:rPr>
          <w:sz w:val="24"/>
        </w:rPr>
        <w:t>No potential conflict of interest relevant to this article was reported.</w:t>
      </w:r>
    </w:p>
    <w:p>
      <w:pPr>
        <w:pStyle w:val="Heading1"/>
        <w:spacing w:before="240" w:after="120" w:line="480" w:lineRule="auto"/>
      </w:pPr>
      <w:r>
        <w:t>Acknowledgements</w:t>
      </w:r>
    </w:p>
    <w:p>
      <w:pPr>
        <w:spacing w:before="0" w:after="0" w:line="480" w:lineRule="auto"/>
      </w:pPr>
      <w:r>
        <w:rPr>
          <w:sz w:val="24"/>
        </w:rPr>
        <w:t>No external funding was received for this study.</w:t>
      </w:r>
    </w:p>
    <w:p>
      <w:pPr>
        <w:pStyle w:val="Heading1"/>
        <w:spacing w:before="240" w:after="120" w:line="480" w:lineRule="auto"/>
      </w:pPr>
      <w:r>
        <w:t>References</w:t>
      </w:r>
    </w:p>
    <w:p>
      <w:pPr>
        <w:spacing w:before="0" w:after="0" w:line="480" w:lineRule="auto"/>
      </w:pPr>
      <w:r>
        <w:rPr>
          <w:sz w:val="24"/>
        </w:rPr>
        <w:t>1. World Health Organization. Global tuberculosis report 2024. Geneva: WHO; 2024.</w:t>
      </w:r>
    </w:p>
    <w:p>
      <w:pPr>
        <w:spacing w:before="0" w:after="0" w:line="480" w:lineRule="auto"/>
      </w:pPr>
      <w:r>
        <w:rPr>
          <w:sz w:val="24"/>
        </w:rPr>
        <w:t>2. Tola HH, Tol A, Shojaeizadeh D, Garmaroudi G. Tuberculosis treatment non-adherence and lost to follow up among TB patients with or without HIV in developing countries: a systematic review. Iran J Public Health 2015;44:1-11.</w:t>
      </w:r>
    </w:p>
    <w:p>
      <w:pPr>
        <w:spacing w:before="0" w:after="0" w:line="480" w:lineRule="auto"/>
      </w:pPr>
      <w:r>
        <w:rPr>
          <w:sz w:val="24"/>
        </w:rPr>
        <w:t>3. World Health Organization. Treatment of tuberculosis: guidelines. 4th ed. Geneva: WHO; 2010.</w:t>
      </w:r>
    </w:p>
    <w:p>
      <w:pPr>
        <w:spacing w:before="0" w:after="0" w:line="480" w:lineRule="auto"/>
      </w:pPr>
      <w:r>
        <w:rPr>
          <w:sz w:val="24"/>
        </w:rPr>
        <w:t>4. Munro SA, Lewin SA, Smith HJ, Engel ME, Fretheim A, Volmink J. Patient adherence to tuberculosis treatment: a systematic review of qualitative research. PLoS Med 2007;4:e238.</w:t>
      </w:r>
    </w:p>
    <w:p>
      <w:pPr>
        <w:spacing w:before="0" w:after="0" w:line="480" w:lineRule="auto"/>
      </w:pPr>
      <w:r>
        <w:rPr>
          <w:sz w:val="24"/>
        </w:rPr>
        <w:t>5. World Health Organization. Adherence to long-term therapies: evidence for action. Geneva: WHO; 2003.</w:t>
      </w:r>
    </w:p>
    <w:p>
      <w:pPr>
        <w:spacing w:before="0" w:after="0" w:line="480" w:lineRule="auto"/>
      </w:pPr>
      <w:r>
        <w:rPr>
          <w:sz w:val="24"/>
        </w:rPr>
        <w:t>6. Volmink J, Garner P. Directly observed therapy for treating tuberculosis. Cochrane Database Syst Rev 2007;(4):CD003343.</w:t>
      </w:r>
    </w:p>
    <w:p>
      <w:pPr>
        <w:spacing w:before="0" w:after="0" w:line="480" w:lineRule="auto"/>
      </w:pPr>
      <w:r>
        <w:rPr>
          <w:sz w:val="24"/>
        </w:rPr>
        <w:t>7. Weibull W. A statistical distribution function of wide applicability. J Appl Mech 1951;18:293-7.</w:t>
      </w:r>
    </w:p>
    <w:p>
      <w:pPr>
        <w:spacing w:before="0" w:after="0" w:line="480" w:lineRule="auto"/>
      </w:pPr>
      <w:r>
        <w:rPr>
          <w:sz w:val="24"/>
        </w:rPr>
        <w:t>8. Abernethy RB. The New Weibull Handbook. 5th ed. North Palm Beach, FL: Robert B. Abernethy; 2006.</w:t>
      </w:r>
    </w:p>
    <w:p>
      <w:pPr>
        <w:spacing w:before="0" w:after="0" w:line="480" w:lineRule="auto"/>
      </w:pPr>
      <w:r>
        <w:rPr>
          <w:sz w:val="24"/>
        </w:rPr>
        <w:t>9. McChrystal R, Cro S, Carpenter JR. Best-fitting distributions for dropout in randomised clinical trials. BMC Med Res Methodol 2025;25:42.</w:t>
      </w:r>
    </w:p>
    <w:p>
      <w:pPr>
        <w:spacing w:before="0" w:after="0" w:line="480" w:lineRule="auto"/>
      </w:pPr>
      <w:r>
        <w:rPr>
          <w:sz w:val="24"/>
        </w:rPr>
        <w:t>10. Tola A, Mishore KM, Ayele Y, Mekuria AN, Legese N. Treatment outcome of tuberculosis and associated factors among TB-HIV co-infected patients at public hospitals of Harar Town, Eastern Ethiopia. SAGE Open Med 2019;7:2050312119840541.</w:t>
      </w:r>
    </w:p>
    <w:p>
      <w:pPr>
        <w:spacing w:before="0" w:after="0" w:line="480" w:lineRule="auto"/>
      </w:pPr>
      <w:r>
        <w:rPr>
          <w:sz w:val="24"/>
        </w:rPr>
        <w:t>11. Kaplan R, Caldwell J, Middelkoop K, Bekker LG, Wood R. Impact of ART on TB case fatality stratified by CD4 count for HIV-positive TB patients in Cape Town, South Africa (2009-2011). J Acquir Immune Defic Syndr 2014;66:487-94.</w:t>
      </w:r>
    </w:p>
    <w:p>
      <w:pPr>
        <w:spacing w:before="0" w:after="0" w:line="480" w:lineRule="auto"/>
      </w:pPr>
      <w:r>
        <w:rPr>
          <w:sz w:val="24"/>
        </w:rPr>
        <w:t>12. Parmar MM, Sachdeva KS, Dewan PK, Bagchi S, Rade K, Nair SA, et al. Unacceptable treatment outcomes and associated factors among India's initial cohorts of multidrug-resistant tuberculosis (MDR-TB) patients under the revised national TB control programme (2007-2011). PLoS One 2015;10:e0131571.</w:t>
      </w:r>
    </w:p>
    <w:p>
      <w:pPr>
        <w:spacing w:before="0" w:after="0" w:line="480" w:lineRule="auto"/>
      </w:pPr>
      <w:r>
        <w:rPr>
          <w:sz w:val="24"/>
        </w:rPr>
        <w:t>13. Lacerda SN, Temoteo RC, Figueiredo TM, Luna FD, Sousa MA, de Abreu LC, et al. Individual and social vulnerabilities upon acquiring tuberculosis: a literature systematic review. Int Arch Med 2014;7:35.</w:t>
      </w:r>
    </w:p>
    <w:p>
      <w:pPr>
        <w:spacing w:before="0" w:after="0" w:line="480" w:lineRule="auto"/>
      </w:pPr>
      <w:r>
        <w:rPr>
          <w:sz w:val="24"/>
        </w:rPr>
        <w:t>14. Li X, Wang B, Tan D, Li M, Zhang D, Tang C, et al. Effectiveness of comprehensive social support interventions among elderly patients with tuberculosis in communities in China: a community-based trial. J Epidemiol Community Health 2018;72:369-75.</w:t>
      </w:r>
    </w:p>
    <w:p>
      <w:pPr>
        <w:spacing w:before="0" w:after="0" w:line="480" w:lineRule="auto"/>
      </w:pPr>
      <w:r>
        <w:rPr>
          <w:sz w:val="24"/>
        </w:rPr>
        <w:t>15. Fox MP, Rosen S. Patient retention in antiretroviral therapy programs up to three years on treatment in sub-Saharan Africa, 2007-2009: systematic review. Trop Med Int Health 2010;15 Suppl 1:1-15.</w:t>
      </w:r>
    </w:p>
    <w:p>
      <w:pPr>
        <w:spacing w:before="0" w:after="0" w:line="480" w:lineRule="auto"/>
      </w:pPr>
      <w:r>
        <w:rPr>
          <w:sz w:val="24"/>
        </w:rPr>
        <w:t>16. Lieberman JA, Stroup TS, McEvoy JP, Swartz MS, Rosenheck RA, Perkins DO, et al. Effectiveness of antipsychotic drugs in patients with chronic schizophrenia. N Engl J Med 2005;353:1209-23.</w:t>
      </w:r>
    </w:p>
    <w:p>
      <w:pPr>
        <w:spacing w:before="0" w:after="0" w:line="480" w:lineRule="auto"/>
      </w:pPr>
      <w:r>
        <w:rPr>
          <w:sz w:val="24"/>
        </w:rPr>
        <w:t>17. Simpson DD, Joe GW, Brown BS. Treatment retention and follow-up outcomes in the Drug Abuse Treatment Outcome Study (DATOS). Psychol Addict Behav 1997;11:294-307.</w:t>
      </w:r>
    </w:p>
    <w:p>
      <w:pPr>
        <w:spacing w:before="0" w:after="0" w:line="480" w:lineRule="auto"/>
      </w:pPr>
      <w:r>
        <w:rPr>
          <w:sz w:val="24"/>
        </w:rPr>
        <w:t>18. Turk-Adawi K, Sarrafzadegan N, Grace SL. Global availability of cardiac rehabilitation. Nat Rev Cardiol 2014;11:586-96.</w:t>
      </w:r>
    </w:p>
    <w:p>
      <w:pPr>
        <w:spacing w:before="0" w:after="0" w:line="480" w:lineRule="auto"/>
      </w:pPr>
      <w:r>
        <w:rPr>
          <w:sz w:val="24"/>
        </w:rPr>
        <w:t>19. Tweya H, Feldacker C, Phiri S, Ben-Smith A, Fenner L, Jahn A, et al. Are they really lost? "True" status and reasons for treatment discontinuation among HIV infected patients on antiretroviral therapy considered lost to follow up in Urban Malawi. PLoS One 2013;8:e75761.</w:t>
      </w:r>
    </w:p>
    <w:p>
      <w:pPr>
        <w:spacing w:before="0" w:after="0" w:line="480" w:lineRule="auto"/>
      </w:pPr>
      <w:r>
        <w:rPr>
          <w:sz w:val="24"/>
        </w:rPr>
        <w:t>20. Osterberg L, Blaschke T. Adherence to medication. N Engl J Med 2005;353:487-97.</w:t>
      </w:r>
    </w:p>
    <w:p>
      <w:pPr>
        <w:spacing w:before="0" w:after="0" w:line="480" w:lineRule="auto"/>
      </w:pPr>
      <w:r>
        <w:rPr>
          <w:sz w:val="24"/>
        </w:rPr>
        <w:t>21. World Health Organization. WHO consolidated guidelines on tuberculosis. Module 4: treatment - drug-susceptible tuberculosis treatment. Geneva: WHO; 2022.</w:t>
      </w:r>
    </w:p>
    <w:p>
      <w:pPr>
        <w:spacing w:before="0" w:after="0" w:line="480" w:lineRule="auto"/>
      </w:pPr>
      <w:r>
        <w:rPr>
          <w:sz w:val="24"/>
        </w:rPr>
        <w:t>22. Getahun B, Ameni G, Biadgilign S, Medhin G. Mortality and associated risk factors in a cohort of tuberculosis patients treated under DOTS programme in Addis Ababa, Ethiopia. BMC Infect Dis 2011;11:127.</w:t>
      </w:r>
    </w:p>
    <w:p>
      <w:pPr>
        <w:spacing w:before="0" w:after="0" w:line="480" w:lineRule="auto"/>
      </w:pPr>
      <w:r>
        <w:rPr>
          <w:sz w:val="24"/>
        </w:rPr>
        <w:t>23. Vaupel JW, Manton KG, Stallard E. The impact of heterogeneity in individual frailty on the dynamics of mortality. Demography 1979;16:439-54.</w:t>
      </w:r>
    </w:p>
    <w:p>
      <w:pPr>
        <w:spacing w:before="0" w:after="0" w:line="480" w:lineRule="auto"/>
      </w:pPr>
      <w:r>
        <w:rPr>
          <w:sz w:val="24"/>
        </w:rPr>
        <w:t>24. Ailinger RL, Martyn D, Lasus H, Lima Garcia N. The effect of a cultural intervention on adherence to latent tuberculosis infection therapy in Latino immigrants. Public Health Nurs 2010;27:115-20.</w:t>
      </w:r>
    </w:p>
    <w:p>
      <w:pPr>
        <w:spacing w:before="0" w:after="0" w:line="480" w:lineRule="auto"/>
      </w:pPr>
      <w:r>
        <w:rPr>
          <w:sz w:val="24"/>
        </w:rPr>
        <w:t>25. Subbaraman R, de Mondesert L, Musiimenta A, Pai M, Mayer KH, Thomas BE, et al. Digital adherence technologies for the management of tuberculosis therapy: mapping the landscape and research priorities. BMJ Glob Health 2018;3:e001018.</w:t>
      </w:r>
    </w:p>
    <w:p>
      <w:pPr>
        <w:spacing w:before="0" w:after="0" w:line="480" w:lineRule="auto"/>
      </w:pPr>
      <w:r>
        <w:rPr>
          <w:sz w:val="24"/>
        </w:rPr>
        <w:t>26. Liu Q, Abba K, Alejandria MM, Sinclair D, Balanag VM, Lansang MA. Reminder systems to improve patient adherence to tuberculosis clinic appointments for diagnosis and treatment. Cochrane Database Syst Rev 2014;(11):CD006594.</w:t>
      </w:r>
    </w:p>
    <w:p>
      <w:pPr>
        <w:spacing w:before="0" w:after="0" w:line="480" w:lineRule="auto"/>
      </w:pPr>
      <w:r>
        <w:rPr>
          <w:sz w:val="24"/>
        </w:rPr>
        <w:t>27. Belknap R, Weis S, Brookens A, Au-Yeung KY, Moon G, DiCarlo L, et al. Feasibility of an ingestible sensor-based system for monitoring adherence to tuberculosis therapy. PLoS One 2013;8:e53373.</w:t>
      </w:r>
    </w:p>
    <w:p>
      <w:pPr>
        <w:spacing w:before="0" w:after="0" w:line="480" w:lineRule="auto"/>
      </w:pPr>
      <w:r>
        <w:rPr>
          <w:sz w:val="24"/>
        </w:rPr>
        <w:t>28. Hirpa S, Medhin G, Girma B, Melese M, Mekonen A, Suarez P, et al. Determinants of multidrug-resistant tuberculosis in patients who underwent first-line treatment in Addis Ababa: a case control study. BMC Public Health 2013;13:782.</w:t>
      </w:r>
    </w:p>
    <w:p>
      <w:pPr>
        <w:spacing w:before="0" w:after="0" w:line="480" w:lineRule="auto"/>
      </w:pPr>
      <w:r>
        <w:rPr>
          <w:sz w:val="24"/>
        </w:rPr>
        <w:t>29. Zenner D, Beer N, Harris RJ, Lipman MC, Stagg HR, van der Werf MJ. Treatment of latent tuberculosis infection: an updated network meta-analysis. Ann Intern Med 2017;167:248-55.</w:t>
      </w:r>
    </w:p>
    <w:p>
      <w:r>
        <w:br w:type="page"/>
      </w:r>
    </w:p>
    <w:p>
      <w:pPr>
        <w:pStyle w:val="Heading1"/>
        <w:spacing w:before="240" w:after="120" w:line="480" w:lineRule="auto"/>
      </w:pPr>
      <w:r>
        <w:t>Figure Legends</w:t>
      </w:r>
    </w:p>
    <w:p>
      <w:pPr>
        <w:spacing w:before="0" w:after="240" w:line="480" w:lineRule="auto"/>
      </w:pPr>
      <w:r>
        <w:rPr>
          <w:b/>
          <w:sz w:val="24"/>
        </w:rPr>
        <w:t xml:space="preserve">Figure 1. </w:t>
      </w:r>
      <w:r>
        <w:rPr>
          <w:sz w:val="24"/>
        </w:rPr>
        <w:t>Cross-domain comparison of Weibull shape parameters (k). Red bars indicate tuberculosis datasets (k&gt;1, IFR); blue bars indicate five comparator domains (k&lt;1, DFR). The dashed line at k=1 represents constant hazard (exponential distribution). TB is the sole domain showing increasing failure rate.</w:t>
      </w:r>
    </w:p>
    <w:p>
      <w:pPr>
        <w:spacing w:before="0" w:after="240" w:line="480" w:lineRule="auto"/>
      </w:pPr>
      <w:r>
        <w:rPr>
          <w:b/>
          <w:sz w:val="24"/>
        </w:rPr>
        <w:t xml:space="preserve">Figure 2. </w:t>
      </w:r>
      <w:r>
        <w:rPr>
          <w:sz w:val="24"/>
        </w:rPr>
        <w:t>TB treatment retention curves (left panel) and hazard functions (right panel) across five national programmes. All hazard functions are monotonically increasing (IFR pattern), confirming progressively rising dropout risk over the 6-month treatment course.</w:t>
      </w:r>
    </w:p>
    <w:p>
      <w:pPr>
        <w:spacing w:before="0" w:after="240" w:line="480" w:lineRule="auto"/>
      </w:pPr>
      <w:r>
        <w:rPr>
          <w:b/>
          <w:sz w:val="24"/>
        </w:rPr>
        <w:t xml:space="preserve">Figure 3. </w:t>
      </w:r>
      <w:r>
        <w:rPr>
          <w:sz w:val="24"/>
        </w:rPr>
        <w:t>Hazard function comparison: TB (IFR, dashed red line) versus representative curves from five open-ended treatment domains (DFR, solid lines). TB hazard increases over time while all comparator domain hazard functions decline, illustrating the fixed-duration versus open-ended treatment dichotomy.</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