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480" w:lineRule="auto"/>
        <w:jc w:val="left"/>
      </w:pPr>
      <w:r>
        <w:rPr>
          <w:b/>
          <w:sz w:val="24"/>
        </w:rPr>
        <w:t>原著論文</w:t>
      </w:r>
    </w:p>
    <w:p>
      <w:pPr>
        <w:spacing w:before="0" w:after="240" w:line="480" w:lineRule="auto"/>
        <w:jc w:val="left"/>
      </w:pPr>
      <w:r>
        <w:rPr>
          <w:b/>
          <w:sz w:val="28"/>
        </w:rPr>
        <w:t>結核治療脱落におけるハザード增加パターンの発見：</w:t>
        <w:br/>
        <w:t>6ドメインWeibull比較研究</w:t>
      </w:r>
    </w:p>
    <w:p>
      <w:pPr>
        <w:spacing w:before="0" w:after="120" w:line="480" w:lineRule="auto"/>
      </w:pPr>
      <w:r>
        <w:rPr>
          <w:sz w:val="24"/>
        </w:rPr>
        <w:t>大西 辰樹</w:t>
      </w:r>
    </w:p>
    <w:p>
      <w:pPr>
        <w:spacing w:before="0" w:after="480" w:line="480" w:lineRule="auto"/>
      </w:pPr>
      <w:r>
        <w:rPr>
          <w:sz w:val="24"/>
        </w:rPr>
        <w:t>滋賀医科大学 データサイエンス・AIイノベーション研究推進センター</w:t>
      </w:r>
    </w:p>
    <w:p>
      <w:r>
        <w:br w:type="page"/>
      </w:r>
    </w:p>
    <w:p>
      <w:pPr>
        <w:pStyle w:val="Heading1"/>
        <w:spacing w:before="240" w:after="120" w:line="480" w:lineRule="auto"/>
      </w:pPr>
      <w:r>
        <w:t>要旨</w:t>
      </w:r>
    </w:p>
    <w:p>
      <w:pPr>
        <w:spacing w:before="0" w:after="0" w:line="480" w:lineRule="auto"/>
      </w:pPr>
      <w:r>
        <w:rPr>
          <w:b/>
        </w:rPr>
        <w:t>背景：</w:t>
      </w:r>
      <w:r>
        <w:rPr>
          <w:sz w:val="24"/>
        </w:rPr>
        <w:t>結核治療脱落（追跡不能）は世界的な結核対策の重大な障壁である。脱落ハザードの時間的パターンを理解することは、フェーズ別介入設計に不可欠であるが、体系的な解析はなされていない。</w:t>
      </w:r>
    </w:p>
    <w:p>
      <w:pPr>
        <w:spacing w:before="0" w:after="0" w:line="480" w:lineRule="auto"/>
      </w:pPr>
      <w:r>
        <w:rPr>
          <w:b/>
        </w:rPr>
        <w:t>方法：</w:t>
      </w:r>
      <w:r>
        <w:rPr>
          <w:sz w:val="24"/>
        </w:rPr>
        <w:t>5カ国の結核治療プログラム（N=139,470）および5つの比較ドメイン（HIV/ART、抜精神病薬、物質使用障害、心臓リハビリ、臨床試験；27データセット、N=787,882）に2パラメータWeibull分布を適合した。</w:t>
      </w:r>
    </w:p>
    <w:p>
      <w:pPr>
        <w:spacing w:before="0" w:after="0" w:line="480" w:lineRule="auto"/>
      </w:pPr>
      <w:r>
        <w:rPr>
          <w:b/>
        </w:rPr>
        <w:t>結果：</w:t>
      </w:r>
      <w:r>
        <w:rPr>
          <w:sz w:val="24"/>
        </w:rPr>
        <w:t>結核治療はk=1.22-1.31（平均 1.26）を示し、脱落リスクが治療期間中に増加するIFR（故障率増加）パターンを示した。一方、5つの比較ドメインは全てk&lt;1（範囲: 0.511-0.958）でDFR（故障率減少）を示した。</w:t>
      </w:r>
    </w:p>
    <w:p>
      <w:pPr>
        <w:spacing w:before="0" w:after="0" w:line="480" w:lineRule="auto"/>
      </w:pPr>
      <w:r>
        <w:rPr>
          <w:b/>
        </w:rPr>
        <w:t>結論：</w:t>
      </w:r>
      <w:r>
        <w:rPr>
          <w:sz w:val="24"/>
        </w:rPr>
        <w:t>結核治療脱落は独自のIFRパターンを示し、継続期（第3-6月）に集中した「後半重点型」介入が必要である。これは無期限治療に適切な「前半重点型」戦略と対照的である。</w:t>
      </w:r>
    </w:p>
    <w:p>
      <w:pPr>
        <w:spacing w:before="0" w:after="240" w:line="480" w:lineRule="auto"/>
      </w:pPr>
      <w:r>
        <w:rPr>
          <w:b/>
        </w:rPr>
        <w:t>キーワード：</w:t>
      </w:r>
      <w:r>
        <w:t>結核; 治疗アドヒアランス; 脱落; Weibull分布; 生存分析; ハザード関数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