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9992</w:t>
      </w:r>
    </w:p>
    <w:p>
      <w:pPr>
        <w:jc w:val="center"/>
      </w:pPr>
      <w:r>
        <w:t>Corresponding author: [To be completed at submission]</w:t>
      </w:r>
    </w:p>
    <w:p>
      <w:r>
        <w:br w:type="page"/>
      </w:r>
    </w:p>
    <w:p>
      <w:pPr>
        <w:pStyle w:val="Heading1"/>
      </w:pPr>
      <w:r>
        <w:t>Abstract</w:t>
      </w:r>
    </w:p>
    <w:p>
      <w:r>
        <w:t>Artificial intelligence (AI) and machine learning (ML) research is increasingly concentrated, raising the risk that smaller communities fall below a minimum viable coauthor pool. We model each civilisation as a six-compartment system of domestic and abroad early-career, high-impact, and principal-investigator (PI) researchers, and estimate transition rates from OpenAlex AI/ML data (subfield 1702). The minimum viable threshold is M = k × c_bar, where c_bar is the mean authors per work and k is the median number of distinct last-author groups per year. Across 9 groups, equilibrium active pools remain above their thresholds, but the closest point of no return (PNR) is observed for the Other Western group, where the exogenous entry rate (I0) must be multiplied by 0.332× (a 67% proportional reduction) to drive the active pool to its threshold. A simulated reduction in dropout yields the largest margin gain in every group in the fitted model. The 2017-2023 projection has RMSE 10190.39 and a conservative, non-standard MAPE of 129.0% (count_obs + 1 denominator). The high error is expected because the projection is an early-warning indicator of directional drift, not a precise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yields the largest margin gain across all groups.</w:t>
      </w:r>
    </w:p>
    <w:p>
      <w:pPr>
        <w:pStyle w:val="Heading2"/>
      </w:pPr>
      <w:r>
        <w:t>Data and Code Availability</w:t>
      </w:r>
    </w:p>
    <w:p>
      <w:r>
        <w:t>This study uses the OpenAlex database (subfield 1702, Artificial Intelligence; 2000–2023), accessed via the OpenAlex API. The analysis is bundled with a pre-extracted cohort and a stratified sample of works; the country-to-civilisation mapping, code, and result CSVs used to generate this manuscript are available in the public GitHub repository https://github.com/bougtoir/researcher-mobility-ode. The extracted cohort SQLite database (a derived aggregate of OpenAlex records) is available from the corresponding author on request, subject to the OpenAlex CC0 licence and any applicable local data-use policies.</w:t>
      </w:r>
    </w:p>
    <w:p>
      <w:pPr>
        <w:pStyle w:val="Heading2"/>
      </w:pPr>
      <w:r>
        <w:t>Declarations</w:t>
      </w:r>
    </w:p>
    <w:p>
      <w:r>
        <w:rPr>
          <w:b/>
        </w:rPr>
        <w:t xml:space="preserve">Funding: </w:t>
      </w:r>
      <w:r>
        <w:t>[To be completed by the authors at submission.]</w:t>
      </w:r>
    </w:p>
    <w:p>
      <w:r>
        <w:rPr>
          <w:b/>
        </w:rPr>
        <w:t xml:space="preserve">Competing interests: </w:t>
      </w:r>
      <w:r>
        <w:t>[To be completed by the authors at submission.]</w:t>
      </w:r>
    </w:p>
    <w:p>
      <w:r>
        <w:rPr>
          <w:b/>
        </w:rPr>
        <w:t xml:space="preserve">Author contributions: </w:t>
      </w:r>
      <w:r>
        <w:t>[To be completed by the authors at submission.]</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In that view, technological change is path-dependent and distributed: routines, organisations and institutions co-evolve, so the loss of a research community is not merely a decline in headcount but a reduction in the variety from which future trajectories can be generated. The PNR is therefore an innovation-systems problem: once a community falls below the minimum scale needed to sustain distinct research programmes, the path-dependent process of search and selection that produces new trajectories is impaired. This connects that macro-level, innovation-systems view of path-dependent technological change to individual career-transition data: the transition rates and PNR distances reported below can be read as an empirical early-warning indicator of whether a particular civilisational innovation system retains enough researchers to sustain a distinct technological trajectory.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These civilisation labels are operational categories based on observed publication-affiliation patterns; they are not normative claims about cultural or political identity, and they are reported in full in Supplementary Material.</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 Civilisation labels are operational aggregations of OpenAlex country-affiliation patterns and do not imply normative cultural or political classification.</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0.50× the stability-critical value (safety factor 0.50); the most constrained fitted group realises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In this sense, falling below M is a sufficient condition for collapse, not a necessary one; external shocks can push a community below viability even when the equilibrium active pool remains above M.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using a Laplace pseudocount of 1 for each outcome so the smoothed proportion is (successes + 1)/(n + 2).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T reaches its coauthor threshold M, or the domestic PI pool P_D reaches k distinct last-author groups as a lower-bound PI-pool threshold,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smoothing with a pseudocount of 1 for each possible destination, and derived the probabilities that map to α, β, h_D, h_A and p_D, p_A. Dropout (d) is not directly observed year-by-year in the training window because final attrition is right-censored before 2023, so we import the cohort-level per-year hazard from the full-career data and treat it as a constant annual rate for each group.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Projected annual dropout was capped at 1.5 times the 90th percentile of observed annual dropout rates in the 2000-2016 training period.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1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annual dropout rate is anchored to the cohort-level per-year hazard rather than extrapolated from year-to-year transitions, because final attrition is right-censored in the training window. The inflow apportionment pressure keeps the composition of new entrants aligned with the most recently observed recruitment pattern, rather than inventing a new distribution. Finally, the endogenous inflow is capped at a safety factor of 0.50 relative to the critical reproduction rate (the most constrained fitted group realises 0.40), which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Supplementary Table 5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The mean observed annual transition rates by group between 2000 and 2016, distinguishing early-career outflow (α), return (β), domestic and abroad hit generation (h_D, h_A), PI promotion (p_D), dropout (d), and total inflow (I_total), are provided in Supplementary Table 3. Similarly, the cross-origin-destination pairs with the largest accumulation of abroad author-years are listed in Supplementary Table 4. These supplementary tables keep the main text focused on the PNR and policy conclusions while preserving the empirical detail needed for replication and extension.</w:t>
      </w:r>
    </w:p>
    <w:p>
      <w:r>
        <w:t>Figure 6 shows the cross-civilisation accumulation of abroad author-years. Rows represent the origin civilisation and columns represent the destination civilisation, approximated by the author's recent_group while abroad. Origin-destination cells with the same civilisation and destinations labelled Unknown are excluded because the reconstruction cannot observe the actual host civilisation. The remaining cells are a lower-bound proxy for the true inter-civilisation pipelines.</w:t>
      </w:r>
    </w:p>
    <w:p>
      <w:r>
        <w:drawing>
          <wp:inline xmlns:a="http://schemas.openxmlformats.org/drawingml/2006/main" xmlns:pic="http://schemas.openxmlformats.org/drawingml/2006/picture">
            <wp:extent cx="5303520" cy="431127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11272"/>
                    </a:xfrm>
                    <a:prstGeom prst="rect"/>
                  </pic:spPr>
                </pic:pic>
              </a:graphicData>
            </a:graphic>
          </wp:inline>
        </w:drawing>
      </w:r>
    </w:p>
    <w:p>
      <w:pPr>
        <w:jc w:val="center"/>
      </w:pPr>
      <w:r>
        <w:rPr>
          <w:i/>
        </w:rPr>
        <w:t>Figure 6. Cross-civilisation abroad author-year accumulation by origin (rows) and destination (columns) (same-civilisation cells and Unknown destinations excluded; lower-bound proxy).</w:t>
      </w:r>
    </w:p>
    <w:p>
      <w:pPr>
        <w:pStyle w:val="Heading2"/>
      </w:pPr>
      <w:r>
        <w:t>5.7 Out-of-sample projection, 2017-2023</w:t>
      </w:r>
    </w:p>
    <w:p>
      <w:r>
        <w:t>The 2017-2023 projection is compared with observed annual stocks in Figure 7. Overall accuracy is RMSE 10190.39 and MAPE 129.0%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t xml:space="preserve">Direction and threshold-alarm diagnostics support this interpretation. </w:t>
      </w:r>
      <w:r>
        <w:t xml:space="preserve">Year-to-year direction agreement between projected and observed compartment counts is 21.6%, ranging from Hindu to Japanese. </w:t>
      </w:r>
      <w:r>
        <w:t xml:space="preserve">For the active pool T = D + H_D + P_D, the projection correctly classifies whether T is below the minimum viable threshold M in 92.1% of group-years (sensitivity 0.0%, specificity 100.0%). The model identifies 5 observed threshold-crossing group-years, mostly in the smallest civilisations. </w:t>
      </w:r>
      <w:r>
        <w:t>These metrics confirm that the annual layer is useful for directional and threshold-crossing surveillance, not for precise population counts. The modest year-to-year direction-agreement value is expected for small compartments and sparse transitions, and it reinforces that the projection layer should be treated as a drift-and-threshold alarm rather than a population forecast.</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 Japan is presented here as an illustrative case; the same diagnostic can be applied to any civilisation with sufficient OpenAlex coverage.</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endogenous inflow is capped at a safety factor of 0.50 relative to the critical reproduction rate (the most constrained fitted group realises 0.40),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[17]</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used as an illustrative case, not because it is the only group of interest, but because it combines a small absolute margin with rich data and a distinctive institutional lineage that makes the policy translation concrete. It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 The Japan-specific analysis is intended as a worked example; the same rate-ladder diagnostic can be applied to any civilisation with sufficient OpenAlex coverage.</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[18]</w:t>
      </w:r>
      <w:r>
        <w:t>, in which the central question is not only who wins the current round but whether the global system retains enough diversity for future rounds</w:t>
      </w:r>
      <w:r>
        <w:rPr>
          <w:vertAlign w:val="superscript"/>
        </w:rPr>
        <w:t xml:space="preserve"> [19]</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formed from the title and reflecting the research base at Shiga University.</w:t>
      </w:r>
    </w:p>
    <w:p>
      <w:r>
        <w:t>Table 8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8.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r>
        <w:t>Table 8 distinguishes the policy instruments that governments, funding agencies and international organisations control from the management actions that universities and research institutes must take. Policymakers set incentives—doctoral quotas, fellowships, visas, independent-lab schemes, and dual-career support—but those incentives change transition rates only if institutions translate them into hiring, promotion, and retention practices. University leadership and department heads therefore own the management levers in the right-hand column: tenure-track conversion, startup packages, mentoring pipelines, and stable non-tenure research tracks. Mapping the model levers to actors sharpens the translation: I0 and h_D are primarily owned by national funding agencies and ministries that set doctoral, postdoctoral and independent-lab budgets; p_D and d are owned by universities and department heads through promotion, retention and work-life policies; β is influenced by diaspora networks, return grants, dual appointments and private-sector R&amp;D recruitment. The model's value for management is to rank which local transition rates most urgently need intervention and to estimate the proportional change required to restore a safety margin.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endogenous inflow is capped at a safety factor of 0.50 relative to the critical reproduction rate (the most constrained fitted group realises 0.40), so the model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The modest year-to-year direction agreement in the 2017-2023 projection confirms that this layer is a drift-and-threshold alarm, not a precise population forecast.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0.50 relative to the critical reproduction rate (the most constrained fitted group realises 0.40);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Freeman R B, Huang W. Collaboration: Strength in diversity. Nature. 2014;513(7518):305. https://doi.org/10.1038/513305a</w:t>
      </w:r>
    </w:p>
    <w:p>
      <w:r>
        <w:t>18. Shachar A. The Race for Talent: Highly Skilled Migrants and Competitive Immigration Regimes. NYU Law Rev. 2006;81(1):148-206.</w:t>
      </w:r>
    </w:p>
    <w:p>
      <w:r>
        <w:t>19.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