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Onishi Tatsuki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Data Science AI Innovation Research Promotion Center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Shiga University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1-1-1, Bamba, Hikone, Shiga, 522-8522 Japan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Telephone: +81-749-27-1023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E-mail: bougtoir@gmail.com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ORCID: 0000-0001-7261-9062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17 June 2026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The Editor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/>
          <w:sz w:val="24"/>
        </w:rPr>
        <w:t>Journal of Macroeconomics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Dear Editor,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I am pleased to submit for your consideration the enclosed manuscript, </w:t>
      </w:r>
      <w:r>
        <w:rPr>
          <w:rFonts w:ascii="Times New Roman" w:hAnsi="Times New Roman" w:eastAsia="MS Mincho"/>
          <w:b/>
          <w:i w:val="0"/>
          <w:sz w:val="24"/>
        </w:rPr>
        <w:t>"What the Solow Residual Has Been Hiding: Tempo Drift and the Missing Intangible Share in National Capital Stocks"</w:t>
      </w:r>
      <w:r>
        <w:rPr>
          <w:rFonts w:ascii="Times New Roman" w:hAnsi="Times New Roman" w:eastAsia="MS Mincho"/>
          <w:b w:val="0"/>
          <w:i w:val="0"/>
          <w:sz w:val="24"/>
        </w:rPr>
        <w:t xml:space="preserve">, for publication in the </w:t>
      </w:r>
      <w:r>
        <w:rPr>
          <w:rFonts w:ascii="Times New Roman" w:hAnsi="Times New Roman" w:eastAsia="MS Mincho"/>
          <w:b w:val="0"/>
          <w:i/>
          <w:sz w:val="24"/>
        </w:rPr>
        <w:t>Journal of Macroeconomics</w:t>
      </w:r>
      <w:r>
        <w:rPr>
          <w:rFonts w:ascii="Times New Roman" w:hAnsi="Times New Roman" w:eastAsia="MS Mincho"/>
          <w:b w:val="0"/>
          <w:i w:val="0"/>
          <w:sz w:val="24"/>
        </w:rPr>
        <w:t>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The paper addresses a fundamental question for macroeconomic measurement and policy: how much of what we call TFP is a genuine productivity residual, and how much is a book-keeping artefact of mis-timed capital stocks and omitted intangibles? Two parameters that conventional growth accounting imposes at zero — a time-varying investment-to-output lag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(t) and an intangible-capital share </w:t>
      </w:r>
      <w:r>
        <w:rPr>
          <w:rFonts w:ascii="Times New Roman" w:hAnsi="Times New Roman" w:eastAsia="MS Mincho"/>
          <w:b w:val="0"/>
          <w:i/>
          <w:sz w:val="24"/>
        </w:rPr>
        <w:t>β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— jointly account for a measurable share of measured TFP variation across 39 OECD and middle-income economies (Penn World Table 10.01, World Bank CWON, 1995–2019). Letting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drift reduces out-of-sample GDP forecast error by 13%, and a Solow-residual decomposition reveals that up to 30% of TFP-growth variance can be re-attributed to tempo drift and missing intangibles rather than genuine innovation. When both corrections are applied, production-side (flow) and wealth-side (stock) national accounts agree to within 1–2% for most countries.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I believe this work falls squarely within the scope of the </w:t>
      </w:r>
      <w:r>
        <w:rPr>
          <w:rFonts w:ascii="Times New Roman" w:hAnsi="Times New Roman" w:eastAsia="MS Mincho"/>
          <w:b w:val="0"/>
          <w:i/>
          <w:sz w:val="24"/>
        </w:rPr>
        <w:t>Journal of Macroeconomics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for three reasons.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First, the findings have direct implications for macroeconomic policy. Output-gap estimates that feed into fiscal rules (the EU's Stability and Growth Pact, the US CBO's potential-GDP series) are computed from production functions that assume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= 0 and </w:t>
      </w:r>
      <w:r>
        <w:rPr>
          <w:rFonts w:ascii="Times New Roman" w:hAnsi="Times New Roman" w:eastAsia="MS Mincho"/>
          <w:b w:val="0"/>
          <w:i/>
          <w:sz w:val="24"/>
        </w:rPr>
        <w:t>β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= 0. If the capital stock is systematically mis-timed, the output gap is mis-measured and the fiscal stance calibrated to it is distorted. The paper also provides a structural interpretation for the lengthening of monetary-policy transmission lags: as investment shifts toward longer-gestation assets, the real-economy response to interest-rate changes is mechanically delayed.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Second, the identification strategy is novel and disciplined. It exploits a structural analogy with the demographic tempo literature (Bongaarts &amp; Feeney, 1998; Goldstein, Lutz, &amp; Scherbov, 2003), yielding falsifiable predictions confirmed by the data: the joint flow–stock loss function collapses the (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, </w:t>
      </w:r>
      <w:r>
        <w:rPr>
          <w:rFonts w:ascii="Times New Roman" w:hAnsi="Times New Roman" w:eastAsia="MS Mincho"/>
          <w:b w:val="0"/>
          <w:i/>
          <w:sz w:val="24"/>
        </w:rPr>
        <w:t>β</w:t>
      </w:r>
      <w:r>
        <w:rPr>
          <w:rFonts w:ascii="Times New Roman" w:hAnsi="Times New Roman" w:eastAsia="MS Mincho"/>
          <w:b w:val="0"/>
          <w:i w:val="0"/>
          <w:sz w:val="24"/>
        </w:rPr>
        <w:t>) parameter space from a broad ridge to a point for 28 of 39 countries. To the best of my knowledge, this paper is the first to transplant the demographic tempo framework to capital accounting and GDP measurement.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Third, the paper speaks to the broader macroeconomic measurement agenda — the Beyond-GDP debate, international GDP comparability in PWT, and the SNA revision process — showing that flow and stock national accounts are reconcilable once two hidden parameters are made explicit.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The manuscript is approximately 10,000 words of body text, with eleven figures and five tables.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I confirm the following:</w:t>
      </w:r>
    </w:p>
    <w:p>
      <w:pPr>
        <w:spacing w:after="0" w:before="0" w:line="360" w:lineRule="auto"/>
      </w:pP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This work is original and has not been published elsewhere.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The manuscript is not under consideration by any other journal.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All data sources (Penn World Table 10.01; World Bank CWON; World Bank WDI) are publicly available; analysis code and intermediate outputs are archived in the public companion repository.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am the sole author.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have no competing interests, financial or otherwise, related to this work.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used generative AI to assist with formatting the text, choosing words, and writing analysis code; this is documented in the manuscript.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I would be grateful for your consideration.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Yours sincerely,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Onishi Tatsuki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Data Science AI Innovation Research Promotion Center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Shiga University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bougtoir@gmail.com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