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jc w:val="center"/>
      </w:pPr>
      <w:r>
        <w:rPr>
          <w:rFonts w:ascii="Times New Roman" w:hAnsi="Times New Roman" w:eastAsia="MS Mincho"/>
          <w:b/>
          <w:i w:val="0"/>
          <w:sz w:val="32"/>
        </w:rPr>
        <w:t>WHAT THE SOLOW RESIDUAL HAS BEEN HIDING: TEMPO DRIFT AND THE MISSING INTANGIBLE SHARE IN NATIONAL CAPITAL STOCKS</w:t>
      </w:r>
    </w:p>
    <w:p>
      <w:pPr>
        <w:spacing w:after="120" w:line="480" w:lineRule="auto"/>
        <w:ind w:firstLine="480"/>
      </w:pPr>
      <w:r>
        <w:rPr>
          <w:rFonts w:ascii="Times New Roman" w:hAnsi="Times New Roman" w:eastAsia="MS Mincho"/>
          <w:b w:val="0"/>
          <w:i w:val="0"/>
          <w:sz w:val="24"/>
        </w:rPr>
        <w:t>Tatsuki Onishi</w:t>
      </w:r>
    </w:p>
    <w:p>
      <w:pPr>
        <w:spacing w:after="120" w:line="480" w:lineRule="auto"/>
        <w:ind w:firstLine="480"/>
      </w:pPr>
      <w:r>
        <w:rPr>
          <w:rFonts w:ascii="Times New Roman" w:hAnsi="Times New Roman" w:eastAsia="MS Mincho"/>
          <w:b w:val="0"/>
          <w:i w:val="0"/>
          <w:sz w:val="24"/>
        </w:rPr>
        <w:t>Data Science AI Innovation Research Promotion Center, Shiga University</w:t>
      </w:r>
    </w:p>
    <w:p>
      <w:pPr>
        <w:spacing w:after="120" w:line="480" w:lineRule="auto"/>
        <w:ind w:firstLine="480"/>
      </w:pPr>
      <w:r>
        <w:rPr>
          <w:rFonts w:ascii="Times New Roman" w:hAnsi="Times New Roman" w:eastAsia="MS Mincho"/>
          <w:b w:val="0"/>
          <w:i w:val="0"/>
          <w:sz w:val="24"/>
        </w:rPr>
        <w:t>1-1-1, Bamba, Hikone, Shiga, 522-8522 Japan</w:t>
      </w:r>
    </w:p>
    <w:p>
      <w:pPr>
        <w:spacing w:after="120" w:line="480" w:lineRule="auto"/>
        <w:ind w:firstLine="480"/>
      </w:pPr>
      <w:r>
        <w:rPr>
          <w:rFonts w:ascii="Times New Roman" w:hAnsi="Times New Roman" w:eastAsia="MS Mincho"/>
          <w:b w:val="0"/>
          <w:i w:val="0"/>
          <w:sz w:val="24"/>
        </w:rPr>
        <w:t>Telephone: +81-749-27-1023. E-mail: bougtoir@gmail.com. ORCID: 0000-0001-7261-9062.</w:t>
      </w:r>
    </w:p>
    <w:p>
      <w:pPr>
        <w:spacing w:after="120" w:line="480" w:lineRule="auto"/>
        <w:ind w:firstLine="480"/>
      </w:pPr>
      <w:r>
        <w:rPr>
          <w:rFonts w:ascii="Times New Roman" w:hAnsi="Times New Roman" w:eastAsia="MS Mincho"/>
          <w:b w:val="0"/>
          <w:i w:val="0"/>
          <w:sz w:val="24"/>
        </w:rPr>
        <w:t>Keywords: Solow residual; time-to-build; intangible capital; growth accounting; national wealth.</w:t>
      </w:r>
    </w:p>
    <w:p>
      <w:pPr>
        <w:spacing w:after="120" w:line="480" w:lineRule="auto"/>
        <w:ind w:firstLine="480"/>
      </w:pPr>
      <w:r>
        <w:rPr>
          <w:rFonts w:ascii="Times New Roman" w:hAnsi="Times New Roman" w:eastAsia="MS Mincho"/>
          <w:b w:val="0"/>
          <w:i w:val="0"/>
          <w:sz w:val="24"/>
        </w:rPr>
        <w:t>JEL codes: E01; E22; O47.</w:t>
      </w:r>
    </w:p>
    <w:p>
      <w:pPr>
        <w:spacing w:after="120" w:line="480" w:lineRule="auto"/>
        <w:ind w:firstLine="480"/>
      </w:pPr>
      <w:r>
        <w:rPr>
          <w:rFonts w:ascii="Times New Roman" w:hAnsi="Times New Roman" w:eastAsia="MS Mincho"/>
          <w:b w:val="0"/>
          <w:i w:val="0"/>
          <w:sz w:val="24"/>
        </w:rPr>
        <w:t>Statements and Declarations</w:t>
      </w:r>
    </w:p>
    <w:p>
      <w:pPr>
        <w:spacing w:after="120" w:line="480" w:lineRule="auto"/>
        <w:ind w:firstLine="480"/>
      </w:pPr>
      <w:r>
        <w:rPr>
          <w:rFonts w:ascii="Times New Roman" w:hAnsi="Times New Roman" w:eastAsia="MS Mincho"/>
          <w:b w:val="0"/>
          <w:i w:val="0"/>
          <w:sz w:val="24"/>
        </w:rPr>
        <w:t>Competing interests. The author declares no competing interests.</w:t>
      </w:r>
    </w:p>
    <w:p>
      <w:pPr>
        <w:spacing w:after="120" w:line="480" w:lineRule="auto"/>
        <w:ind w:firstLine="480"/>
      </w:pPr>
      <w:r>
        <w:rPr>
          <w:rFonts w:ascii="Times New Roman" w:hAnsi="Times New Roman" w:eastAsia="MS Mincho"/>
          <w:b w:val="0"/>
          <w:i w:val="0"/>
          <w:sz w:val="24"/>
        </w:rPr>
        <w:t>Funding. No external funding was received for this research.</w:t>
      </w:r>
    </w:p>
    <w:p>
      <w:pPr>
        <w:spacing w:after="120" w:line="480" w:lineRule="auto"/>
        <w:ind w:firstLine="480"/>
      </w:pPr>
      <w:r>
        <w:rPr>
          <w:rFonts w:ascii="Times New Roman" w:hAnsi="Times New Roman" w:eastAsia="MS Mincho"/>
          <w:b w:val="0"/>
          <w:i w:val="0"/>
          <w:sz w:val="24"/>
        </w:rPr>
        <w:t>Data and code availability.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 (https://github.com/bougtoir/gdp-tempo-paper).</w:t>
      </w:r>
    </w:p>
    <w:p>
      <w:pPr>
        <w:spacing w:after="120" w:line="480" w:lineRule="auto"/>
        <w:ind w:firstLine="480"/>
      </w:pPr>
      <w:r>
        <w:rPr>
          <w:rFonts w:ascii="Times New Roman" w:hAnsi="Times New Roman" w:eastAsia="MS Mincho"/>
          <w:b w:val="0"/>
          <w:i w:val="0"/>
          <w:sz w:val="24"/>
        </w:rPr>
        <w:t>Use of AI tools.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120" w:line="480" w:lineRule="auto"/>
        <w:ind w:firstLine="480"/>
      </w:pPr>
      <w:r>
        <w:rPr>
          <w:rFonts w:ascii="Times New Roman" w:hAnsi="Times New Roman" w:eastAsia="MS Mincho"/>
          <w:b w:val="0"/>
          <w:i w:val="0"/>
          <w:sz w:val="24"/>
        </w:rPr>
        <w:t>Abstract. A measurable share of what conventional growth accounting calls total factor productivity (TFP) is a book-keeping artefact: it reflects a drifting time-to-build parameter μ(t) and an omitted intangible-capital share β that official statistics set to zero. Across 39 OECD and middle-income economies (Penn World Table 10.01, World Bank CWON, 1995–2019), letting μ drift and β enter the production function jointly reduces the out-of-sample GDP-level forecast error from 4.60% to 3.99% — a 13% relative improvement obtained without new data or stochastic machinery. A Solow-residual decomposition shows that up to 30% of TFP-growth variance is attributable to tempo drift alone. Counterfactual wealth calculations indicate that official produced-capital figures understate intangible-adjusted wealth by 0.3–1.1% for high-R&amp;D economies. These corrections reconcile production-side (flow) and wealth-side (stock) national accounts to within 1–2% for most countries, resolving a long-standing tension in the Beyond-GDP debate.</w:t>
      </w:r>
    </w:p>
    <w:p>
      <w:pPr>
        <w:spacing w:after="120" w:line="480" w:lineRule="auto"/>
        <w:ind w:firstLine="480"/>
      </w:pPr>
      <w:r>
        <w:rPr>
          <w:rFonts w:ascii="Times New Roman" w:hAnsi="Times New Roman" w:eastAsia="MS Mincho"/>
          <w:b w:val="0"/>
          <w:i w:val="0"/>
          <w:sz w:val="24"/>
        </w:rPr>
        <w:t>Keywords: Solow residual; time-to-build; intangible capital; growth accounting; national wealth.</w:t>
      </w:r>
    </w:p>
    <w:p>
      <w:pPr>
        <w:spacing w:after="120" w:line="480" w:lineRule="auto"/>
        <w:ind w:firstLine="480"/>
      </w:pPr>
      <w:r>
        <w:rPr>
          <w:rFonts w:ascii="Times New Roman" w:hAnsi="Times New Roman" w:eastAsia="MS Mincho"/>
          <w:b w:val="0"/>
          <w:i w:val="0"/>
          <w:sz w:val="24"/>
        </w:rPr>
        <w:t>JEL codes: E01, E22, O47.</w:t>
      </w:r>
    </w:p>
    <w:p>
      <w:pPr>
        <w:spacing w:before="360" w:after="120" w:line="480" w:lineRule="auto"/>
        <w:jc w:val="center"/>
      </w:pPr>
      <w:r>
        <w:rPr>
          <w:rFonts w:ascii="Times New Roman" w:hAnsi="Times New Roman" w:eastAsia="MS Mincho"/>
          <w:b/>
          <w:i w:val="0"/>
          <w:sz w:val="28"/>
        </w:rPr>
        <w:t>INTRODUCTION</w:t>
      </w:r>
    </w:p>
    <w:p>
      <w:pPr>
        <w:spacing w:after="120" w:line="480" w:lineRule="auto"/>
        <w:ind w:firstLine="480"/>
      </w:pPr>
      <w:r>
        <w:rPr>
          <w:rFonts w:ascii="Times New Roman" w:hAnsi="Times New Roman" w:eastAsia="MS Mincho"/>
          <w:b w:val="0"/>
          <w:i w:val="0"/>
          <w:sz w:val="24"/>
        </w:rPr>
        <w:t>Since Solow (1957), the residual in growth accounting has been treated as an index of technological progress. Half a century of refinements — sector-specific capital, human capital, utilisation adjustments — has shrunk the residual somewhat, but TFP growth still absorbs a substantial, poorly understood component of output variation. This paper shows that a measurable share of what has been called TFP is a book-keeping artefact created by two parameters that conventional growth accounting sets to zero.</w:t>
      </w:r>
    </w:p>
    <w:p>
      <w:pPr>
        <w:spacing w:after="120" w:line="480" w:lineRule="auto"/>
        <w:ind w:firstLine="480"/>
      </w:pPr>
      <w:r>
        <w:rPr>
          <w:rFonts w:ascii="Times New Roman" w:hAnsi="Times New Roman" w:eastAsia="MS Mincho"/>
          <w:b w:val="0"/>
          <w:i w:val="0"/>
          <w:sz w:val="24"/>
        </w:rPr>
        <w:t>The first parameter is the time-varying investment-to-output lag, μ(t). The standard perpetual inventory method (PIM) assumes that investment becomes productive instantaneously (μ = 0) or with a fixed, time-invariant lag.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If μ has been rising but is treated as zero, the PIM capital stock is mis-timed and the Solow residual absorbs the error. The second parameter is the intangible capital share, β. Corrado, Hulten, and Sichel (2005, 2009) have shown that intangible investment is quantitatively large, yet official wealth accounts — including the World Bank Changing Wealth of Nations (CWON; Lange, Wodon, and Carey, 2018) — still exclude most intangibles from produced capital. When β is forced to zero, the missing capital again inflates TFP.</w:t>
      </w:r>
    </w:p>
    <w:p>
      <w:pPr>
        <w:spacing w:after="120" w:line="480" w:lineRule="auto"/>
        <w:ind w:firstLine="480"/>
      </w:pPr>
      <w:r>
        <w:rPr>
          <w:rFonts w:ascii="Times New Roman" w:hAnsi="Times New Roman" w:eastAsia="MS Mincho"/>
          <w:b w:val="0"/>
          <w:i w:val="0"/>
          <w:sz w:val="24"/>
        </w:rPr>
        <w:t>We identify both parameters simultaneously, exploiting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The same mathematics applies, under a precise change of variables, to capital accounting (Table 2): investment plays the role of births, the PIM capital stock plays the role of the population stock, μ(t) is the analogue of the mean age at childbearing, and β is the analogue of the forgotten variance.</w:t>
      </w:r>
    </w:p>
    <w:p>
      <w:pPr>
        <w:spacing w:after="120" w:line="480" w:lineRule="auto"/>
        <w:ind w:firstLine="480"/>
      </w:pPr>
      <w:r>
        <w:rPr>
          <w:rFonts w:ascii="Times New Roman" w:hAnsi="Times New Roman" w:eastAsia="MS Mincho"/>
          <w:b w:val="0"/>
          <w:i w:val="0"/>
          <w:sz w:val="24"/>
        </w:rPr>
        <w:t>Our contribution is three-fold. First, we estimate μ(t) and β jointly across 39 OECD and middle-income economies (Penn World Table 10.01, World Bank CWON, 1995–2019) and show that the time-varying μ(t) reduces the out-of-sample GDP-level forecast error from 4.60 % to 3.99 %, a 13 % relative improvement obtained without new data or stochastic machinery. Second, a Solow-residual decomposition reveals that tempo drift alone accounts for up to 30 % of TFP-growth variance in some countries, and counterfactual wealth calculations show that official produced-capital figures understate intangible-adjusted wealth by 0.3–1.1 % in high-R&amp;D economies. Third, the joint corrections reconcile production-side (flow) and wealth-side (stock) national accounts to within 1–2 % for most countries, which to our knowledge is the first empirical success of the "unified national-wealth accounting" programme that Stiglitz, Sen, and Fitoussi (2009) called for.</w:t>
      </w:r>
    </w:p>
    <w:p>
      <w:pPr>
        <w:spacing w:after="120" w:line="480" w:lineRule="auto"/>
        <w:ind w:firstLine="480"/>
      </w:pPr>
      <w:r>
        <w:rPr>
          <w:rFonts w:ascii="Times New Roman" w:hAnsi="Times New Roman" w:eastAsia="MS Mincho"/>
          <w:b w:val="0"/>
          <w:i w:val="0"/>
          <w:sz w:val="24"/>
        </w:rPr>
        <w:t>The remainder of the paper is organised as follows. Section II reviews the capital-accounting, intangibles, and tempo-demography literatures. Section III develops the theory. Section IV describes the data and methods and defines five models M0–M4 of increasing generality. Section V reports results, including the Solow-residual decomposition and counterfactual wealth simulation. Section VI discusses policy implications and the Beyond-GDP debate. Section VII concludes.</w:t>
      </w:r>
    </w:p>
    <w:p>
      <w:pPr>
        <w:spacing w:before="360" w:after="120" w:line="480" w:lineRule="auto"/>
        <w:jc w:val="center"/>
      </w:pPr>
      <w:r>
        <w:rPr>
          <w:rFonts w:ascii="Times New Roman" w:hAnsi="Times New Roman" w:eastAsia="MS Mincho"/>
          <w:b/>
          <w:i w:val="0"/>
          <w:sz w:val="28"/>
        </w:rPr>
        <w:t>II RELATED LITERATURE</w:t>
      </w:r>
    </w:p>
    <w:p>
      <w:pPr>
        <w:spacing w:after="120" w:line="480" w:lineRule="auto"/>
        <w:ind w:firstLine="480"/>
      </w:pPr>
      <w:r>
        <w:rPr>
          <w:rFonts w:ascii="Times New Roman" w:hAnsi="Times New Roman" w:eastAsia="MS Mincho"/>
          <w:b w:val="0"/>
          <w:i w:val="0"/>
          <w:sz w:val="24"/>
        </w:rPr>
        <w:t>Capital accounting and time-to-build. Since Kydland and Prescott (1982) it has been standard practice to insert a multi-period investment lag into business-cycle models. Empirical estimates are overwhelmingly based on fixed lag structures: a single μ is estimated once for an entire sample, or a small number of regime-dependent μs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μ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480" w:lineRule="auto"/>
        <w:ind w:firstLine="480"/>
      </w:pPr>
      <w:r>
        <w:rPr>
          <w:rFonts w:ascii="Times New Roman" w:hAnsi="Times New Roman" w:eastAsia="MS Mincho"/>
          <w:b w:val="0"/>
          <w:i w:val="0"/>
          <w:sz w:val="24"/>
        </w:rPr>
        <w:t>Intangible capital.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β is not a global constant: Japan, Germany, and some East-Asian economies retain a smaller intangible share than the United States even under harmonised measurement (Corrado et al., 2020), so β ought to be a country-specific parameter, which is how we treat it in Section IV.</w:t>
      </w:r>
    </w:p>
    <w:p>
      <w:pPr>
        <w:spacing w:after="120" w:line="480" w:lineRule="auto"/>
        <w:ind w:firstLine="480"/>
      </w:pPr>
      <w:r>
        <w:rPr>
          <w:rFonts w:ascii="Times New Roman" w:hAnsi="Times New Roman" w:eastAsia="MS Mincho"/>
          <w:b w:val="0"/>
          <w:i w:val="0"/>
          <w:sz w:val="24"/>
        </w:rPr>
        <w:t>Wealth accounting.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480" w:lineRule="auto"/>
        <w:ind w:firstLine="480"/>
      </w:pPr>
      <w:r>
        <w:rPr>
          <w:rFonts w:ascii="Times New Roman" w:hAnsi="Times New Roman" w:eastAsia="MS Mincho"/>
          <w:b w:val="0"/>
          <w:i w:val="0"/>
          <w:sz w:val="24"/>
        </w:rPr>
        <w:t>Tempo and forgotten parameters in demography. Bongaarts and Feeney (1998) introduced the adjustment TFR\ = TFR/(1 − r(t)) where r(t)* is the annual change in the mean age at childbearing. Goldstein, Lutz, and Scherbov (2003) showed that Bongaarts-Feeney was an upper bound unless a parity-specific "forgotten" variance σ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480" w:lineRule="auto"/>
        <w:ind w:firstLine="480"/>
      </w:pPr>
      <w:r>
        <w:rPr>
          <w:rFonts w:ascii="Times New Roman" w:hAnsi="Times New Roman" w:eastAsia="MS Mincho"/>
          <w:b w:val="0"/>
          <w:i w:val="0"/>
          <w:sz w:val="24"/>
        </w:rPr>
        <w:t>Healthcare and human capital sustainability. A companion paper (in preparation) documents that the lag μ_H from medical expenditure to life-expectancy outcomes has been rising by roughly 0.15 years per year since 2000, and that an analogous "forgotten" parameter β_H — the share of expenditure directed to prevention and R&amp;D, as opposed to curative care — accounts for a further share of the US-Japan life-expectancy gap. That paper exploits exactly the same quantum-tempo decomposition developed here.</w:t>
      </w:r>
    </w:p>
    <w:p>
      <w:pPr>
        <w:spacing w:after="120" w:line="480" w:lineRule="auto"/>
        <w:ind w:firstLine="480"/>
      </w:pPr>
      <w:r>
        <w:rPr>
          <w:rFonts w:ascii="Times New Roman" w:hAnsi="Times New Roman" w:eastAsia="MS Mincho"/>
          <w:b w:val="0"/>
          <w:i w:val="0"/>
          <w:sz w:val="24"/>
        </w:rPr>
        <w:t>The gap this paper fills.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480" w:lineRule="auto"/>
        <w:jc w:val="center"/>
      </w:pPr>
      <w:r>
        <w:rPr>
          <w:rFonts w:ascii="Times New Roman" w:hAnsi="Times New Roman" w:eastAsia="MS Mincho"/>
          <w:b/>
          <w:i w:val="0"/>
          <w:sz w:val="28"/>
        </w:rPr>
        <w:t>III THEORY</w:t>
      </w:r>
    </w:p>
    <w:p>
      <w:pPr>
        <w:spacing w:before="360" w:after="120" w:line="480" w:lineRule="auto"/>
      </w:pPr>
      <w:r>
        <w:rPr>
          <w:rFonts w:ascii="Times New Roman" w:hAnsi="Times New Roman" w:eastAsia="MS Mincho"/>
          <w:b/>
          <w:i w:val="0"/>
          <w:sz w:val="24"/>
        </w:rPr>
        <w:t>III.1 Flow-side production function with tempo</w:t>
      </w:r>
    </w:p>
    <w:p>
      <w:pPr>
        <w:spacing w:after="120" w:line="480" w:lineRule="auto"/>
        <w:ind w:firstLine="480"/>
      </w:pPr>
      <w:r>
        <w:rPr>
          <w:rFonts w:ascii="Times New Roman" w:hAnsi="Times New Roman" w:eastAsia="MS Mincho"/>
          <w:b w:val="0"/>
          <w:i w:val="0"/>
          <w:sz w:val="24"/>
        </w:rPr>
        <w:t>The textbook production function treats investment as if it matures instantly:</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with geometric weights w_s(μ) = (1 − θ)·θ^s and θ = μ/(1+μ), so the mean lag is exactly μ years. The key novelty relative to the existing lag literature is to allow μ to drift linearly over time:</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where μ₁ captures the "tempo" in Bongaarts-Feeney's sense. A positive μ₁ indicates that typical projects are becoming longer-lived — for example because new investment is increasingly digital infrastructure, R&amp;D platforms, or complex systems that require multi-year assembly — and a negative μ₁ would indicate the opposite.</w:t>
      </w:r>
    </w:p>
    <w:p>
      <w:pPr>
        <w:spacing w:before="360" w:after="120" w:line="480" w:lineRule="auto"/>
      </w:pPr>
      <w:r>
        <w:rPr>
          <w:rFonts w:ascii="Times New Roman" w:hAnsi="Times New Roman" w:eastAsia="MS Mincho"/>
          <w:b/>
          <w:i w:val="0"/>
          <w:sz w:val="24"/>
        </w:rPr>
        <w:t>III.2 Stock-side intangibles: the forgotten β</w:t>
      </w:r>
    </w:p>
    <w:p>
      <w:pPr>
        <w:spacing w:after="120" w:line="480" w:lineRule="auto"/>
        <w:ind w:firstLine="480"/>
      </w:pPr>
      <w:r>
        <w:rPr>
          <w:rFonts w:ascii="Times New Roman" w:hAnsi="Times New Roman" w:eastAsia="MS Mincho"/>
          <w:b w:val="0"/>
          <w:i w:val="0"/>
          <w:sz w:val="24"/>
        </w:rPr>
        <w:t>Let K_tang(t) be the tangible PIM stock from (M1)–(M2) and K_I(t) be an intangible stock built from R&amp;D expenditure by a geometric PIM with depreciation δ_I = 0.15 (Corrado-Hulten-Sichel, 2009). A production function augmented by intangibles reads:</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where β is the intangible share. Standard practice imposes β = 0 (Solow; also M0 and M1 here). Estimating β &gt; 0 is the capital-accounting analogue of re-introducing the parity-specific variance σ in Goldstein-Lutz-Scherbov.</w:t>
      </w:r>
    </w:p>
    <w:p>
      <w:pPr>
        <w:spacing w:before="360" w:after="120" w:line="480" w:lineRule="auto"/>
      </w:pPr>
      <w:r>
        <w:rPr>
          <w:rFonts w:ascii="Times New Roman" w:hAnsi="Times New Roman" w:eastAsia="MS Mincho"/>
          <w:b/>
          <w:i w:val="0"/>
          <w:sz w:val="24"/>
        </w:rPr>
        <w:t>III.3 Unifying identity: the flow-stock joint loss</w:t>
      </w:r>
    </w:p>
    <w:p>
      <w:pPr>
        <w:spacing w:after="120" w:line="480" w:lineRule="auto"/>
        <w:ind w:firstLine="480"/>
      </w:pPr>
      <w:r>
        <w:rPr>
          <w:rFonts w:ascii="Times New Roman" w:hAnsi="Times New Roman" w:eastAsia="MS Mincho"/>
          <w:b w:val="0"/>
          <w:i w:val="0"/>
          <w:sz w:val="24"/>
        </w:rPr>
        <w:t>Any consistent national wealth aggregate W(t) must satisfy the book-keeping identity</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where S(Y) is gross saving and δ_W is the aggregate depreciation rate. Under (1), the same parameters {μ, β} that govern the production side should also govern the reproducible-capital trajectory implied by the wealth account. We therefore define a single joint loss:</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where L_production is the growth-rate residual from the production function (M3) and L_wealth is the within-country trajectory RMSE between the PIM stock K_tang(t; μ) + β · K_I(t) and the CWON produced-capital series NW.PCA.TO(t). Minimising (2) delivers the "M4 joint" estimates (μ̂_joint, β̂_joint) used below; setting λ = 0 recovers production-only estimates.</w:t>
      </w:r>
    </w:p>
    <w:p>
      <w:pPr>
        <w:spacing w:before="360" w:after="120" w:line="480" w:lineRule="auto"/>
      </w:pPr>
      <w:r>
        <w:rPr>
          <w:rFonts w:ascii="Times New Roman" w:hAnsi="Times New Roman" w:eastAsia="MS Mincho"/>
          <w:b/>
          <w:i w:val="0"/>
          <w:sz w:val="24"/>
        </w:rPr>
        <w:t>III.4 Quantum–tempo correspondence between population and capital</w:t>
      </w:r>
    </w:p>
    <w:p>
      <w:pPr>
        <w:spacing w:after="120" w:line="480" w:lineRule="auto"/>
        <w:ind w:firstLine="480"/>
      </w:pPr>
      <w:r>
        <w:rPr>
          <w:rFonts w:ascii="Times New Roman" w:hAnsi="Times New Roman" w:eastAsia="MS Mincho"/>
          <w:b w:val="0"/>
          <w:i w:val="0"/>
          <w:sz w:val="24"/>
        </w:rPr>
        <w:t>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σ from fertility tempo (cohort-consistency tests, Brass relational models) have direct analogues in capital accounting, which we exploit.</w:t>
      </w:r>
    </w:p>
    <w:p>
      <w:pPr>
        <w:spacing w:before="360" w:after="120" w:line="480" w:lineRule="auto"/>
      </w:pPr>
      <w:r>
        <w:rPr>
          <w:rFonts w:ascii="Times New Roman" w:hAnsi="Times New Roman" w:eastAsia="MS Mincho"/>
          <w:b/>
          <w:i w:val="0"/>
          <w:sz w:val="24"/>
        </w:rPr>
        <w:t>III.5 Relational PIM: a Brass model for capital accounting</w:t>
      </w:r>
    </w:p>
    <w:p>
      <w:pPr>
        <w:spacing w:after="120" w:line="480" w:lineRule="auto"/>
        <w:ind w:firstLine="480"/>
      </w:pPr>
      <w:r>
        <w:rPr>
          <w:rFonts w:ascii="Times New Roman" w:hAnsi="Times New Roman" w:eastAsia="MS Mincho"/>
          <w:b w:val="0"/>
          <w:i w:val="0"/>
          <w:sz w:val="24"/>
        </w:rPr>
        <w:t>Demography has long employed Brass relational models to compare an observed fertility or mortality schedule against a "standard" schedule via a small number of parameters that capture systematic deviations (Brass, 1971). We transplant this idea to capital accounting. Let K_PIM(t) denote the PIM-constructed stock under any of M0–M4, and let K_CWON(t) denote CWON produced capital NW.PCA.TO. We define the Relational PIM (RPIM) as:</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where (ρ₁, ρ₂) are the relational parameters estimated by OLS on the overlapping years where both series are observed and positive. The interpretation is direct:</w:t>
      </w:r>
    </w:p>
    <w:p>
      <w:pPr>
        <w:spacing w:after="120" w:line="480" w:lineRule="auto"/>
        <w:ind w:firstLine="480"/>
      </w:pPr>
      <w:r>
        <w:rPr>
          <w:rFonts w:ascii="Times New Roman" w:hAnsi="Times New Roman" w:eastAsia="MS Mincho"/>
          <w:b w:val="0"/>
          <w:i w:val="0"/>
          <w:sz w:val="24"/>
        </w:rPr>
        <w:t>* ρ₂ = 1 and ρ₁ = 0: the PIM and CWON accounts are perfectly consistent — they measure the same latent stock up to a white-noise error.</w:t>
      </w:r>
    </w:p>
    <w:p>
      <w:pPr>
        <w:spacing w:after="120" w:line="480" w:lineRule="auto"/>
        <w:ind w:firstLine="480"/>
      </w:pPr>
      <w:r>
        <w:rPr>
          <w:rFonts w:ascii="Times New Roman" w:hAnsi="Times New Roman" w:eastAsia="MS Mincho"/>
          <w:b w:val="0"/>
          <w:i w:val="0"/>
          <w:sz w:val="24"/>
        </w:rPr>
        <w:t>* ρ₂ ≠ 1: there is a cumulative (scale-dependent) bias in the PIM relative to CWON. If ρ₂ &lt; 1, the PIM understates the growth of capital relative to CWON; if ρ₂ &gt; 1, it overstates it.</w:t>
      </w:r>
    </w:p>
    <w:p>
      <w:pPr>
        <w:spacing w:after="120" w:line="480" w:lineRule="auto"/>
        <w:ind w:firstLine="480"/>
      </w:pPr>
      <w:r>
        <w:rPr>
          <w:rFonts w:ascii="Times New Roman" w:hAnsi="Times New Roman" w:eastAsia="MS Mincho"/>
          <w:b w:val="0"/>
          <w:i w:val="0"/>
          <w:sz w:val="24"/>
        </w:rPr>
        <w:t>* ρ₁ ≠ 0: there is a level shift between the two accounts, capturing differences in base-year calibration, PPP conversions, or asset coverage.</w:t>
      </w:r>
    </w:p>
    <w:p>
      <w:pPr>
        <w:spacing w:after="120" w:line="480" w:lineRule="auto"/>
        <w:ind w:firstLine="480"/>
      </w:pPr>
      <w:r>
        <w:rPr>
          <w:rFonts w:ascii="Times New Roman" w:hAnsi="Times New Roman" w:eastAsia="MS Mincho"/>
          <w:b w:val="0"/>
          <w:i w:val="0"/>
          <w:sz w:val="24"/>
        </w:rPr>
        <w:t>The novelty is threefold. First, to our knowledge no prior work has applied the Brass relational-model framework to capital accounting. Second, the RPIM does not treat CWON as "truth" — it parameterises the relationship between two independent estimates of the same latent stock, making systematic biases visible and quantifiable. Third, the diagnostic (ρ₁, ρ₂) can be computed under each model specification (M0 through M4), so improvement in ρ₂ toward unity serves as an independent check on whether the tempo and intangible corrections actually bring the two accounts closer together.</w:t>
      </w:r>
    </w:p>
    <w:p>
      <w:pPr>
        <w:spacing w:before="360" w:after="120" w:line="480" w:lineRule="auto"/>
        <w:jc w:val="center"/>
      </w:pPr>
      <w:r>
        <w:rPr>
          <w:rFonts w:ascii="Times New Roman" w:hAnsi="Times New Roman" w:eastAsia="MS Mincho"/>
          <w:b/>
          <w:i w:val="0"/>
          <w:sz w:val="28"/>
        </w:rPr>
        <w:t>IV DATA AND METHODS</w:t>
      </w:r>
    </w:p>
    <w:p>
      <w:pPr>
        <w:spacing w:before="360" w:after="120" w:line="480" w:lineRule="auto"/>
      </w:pPr>
      <w:r>
        <w:rPr>
          <w:rFonts w:ascii="Times New Roman" w:hAnsi="Times New Roman" w:eastAsia="MS Mincho"/>
          <w:b/>
          <w:i w:val="0"/>
          <w:sz w:val="24"/>
        </w:rPr>
        <w:t>IV.1 Data</w:t>
      </w:r>
    </w:p>
    <w:p>
      <w:pPr>
        <w:spacing w:after="120" w:line="480" w:lineRule="auto"/>
        <w:ind w:firstLine="480"/>
      </w:pPr>
      <w:r>
        <w:rPr>
          <w:rFonts w:ascii="Times New Roman" w:hAnsi="Times New Roman" w:eastAsia="MS Mincho"/>
          <w:b w:val="0"/>
          <w:i w:val="0"/>
          <w:sz w:val="24"/>
        </w:rPr>
        <w:t>We use Penn World Table 10.01 (Feenstra, Inklaar, and Timmer, 2015) for real GDP output (rgdpna), tangible capital stock (rnna), investment share (csh_i), depreciation (delta), employment (emp), average hours (avh), human-capital index (hc), and labour share (labsh). For R&amp;D intensity we use World Bank WDI series GB.XPD.RSDV.GD.ZS. For wealth we use World Bank Changing Wealth of Nations 2021 release (Lange, Wodon, and Carey, 2018) — specifically NW.PCA.TO (produced capital total), NW.HCA.TO (human capital total), and NW.TOW.TO (total wealth).</w:t>
      </w:r>
    </w:p>
    <w:p>
      <w:pPr>
        <w:spacing w:after="120" w:line="48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480" w:lineRule="auto"/>
      </w:pPr>
      <w:r>
        <w:rPr>
          <w:rFonts w:ascii="Times New Roman" w:hAnsi="Times New Roman" w:eastAsia="MS Mincho"/>
          <w:b/>
          <w:i w:val="0"/>
          <w:sz w:val="24"/>
        </w:rPr>
        <w:t>IV.2 Models M0–M4</w:t>
      </w:r>
    </w:p>
    <w:p>
      <w:pPr>
        <w:spacing w:after="120" w:line="480" w:lineRule="auto"/>
        <w:ind w:firstLine="480"/>
      </w:pPr>
      <w:r>
        <w:rPr>
          <w:rFonts w:ascii="Times New Roman" w:hAnsi="Times New Roman" w:eastAsia="MS Mincho"/>
          <w:b w:val="0"/>
          <w:i w:val="0"/>
          <w:sz w:val="24"/>
        </w:rPr>
        <w:t>We estimate five nested production-function specifications:</w:t>
      </w:r>
    </w:p>
    <w:p>
      <w:pPr>
        <w:spacing w:after="120" w:line="480" w:lineRule="auto"/>
        <w:ind w:firstLine="480"/>
      </w:pPr>
      <w:r>
        <w:rPr>
          <w:rFonts w:ascii="Times New Roman" w:hAnsi="Times New Roman" w:eastAsia="MS Mincho"/>
          <w:b w:val="0"/>
          <w:i w:val="0"/>
          <w:sz w:val="24"/>
        </w:rPr>
        <w:t xml:space="preserve"> M0: Solow baseline, K_tang* as M0 above, β = 0.</w:t>
      </w:r>
    </w:p>
    <w:p>
      <w:pPr>
        <w:spacing w:after="120" w:line="480" w:lineRule="auto"/>
        <w:ind w:firstLine="480"/>
      </w:pPr>
      <w:r>
        <w:rPr>
          <w:rFonts w:ascii="Times New Roman" w:hAnsi="Times New Roman" w:eastAsia="MS Mincho"/>
          <w:b w:val="0"/>
          <w:i w:val="0"/>
          <w:sz w:val="24"/>
        </w:rPr>
        <w:t xml:space="preserve"> M1: Constant-lag PIM (M1) with μ = μ\ estimated per country by minimising Test B (growth-rate RMSE).</w:t>
      </w:r>
    </w:p>
    <w:p>
      <w:pPr>
        <w:spacing w:after="120" w:line="480" w:lineRule="auto"/>
        <w:ind w:firstLine="480"/>
      </w:pPr>
      <w:r>
        <w:rPr>
          <w:rFonts w:ascii="Times New Roman" w:hAnsi="Times New Roman" w:eastAsia="MS Mincho"/>
          <w:b w:val="0"/>
          <w:i w:val="0"/>
          <w:sz w:val="24"/>
        </w:rPr>
        <w:t>* M2: Time-varying lag μ(t) = μ₀ + μ₁·(t − t₀) from (M2).</w:t>
      </w:r>
    </w:p>
    <w:p>
      <w:pPr>
        <w:spacing w:after="120" w:line="480" w:lineRule="auto"/>
        <w:ind w:firstLine="480"/>
      </w:pPr>
      <w:r>
        <w:rPr>
          <w:rFonts w:ascii="Times New Roman" w:hAnsi="Times New Roman" w:eastAsia="MS Mincho"/>
          <w:b w:val="0"/>
          <w:i w:val="0"/>
          <w:sz w:val="24"/>
        </w:rPr>
        <w:t>* M3: M0 tangible stock augmented with intangible stock K_I and β estimated by growth-rate fit.</w:t>
      </w:r>
    </w:p>
    <w:p>
      <w:pPr>
        <w:spacing w:after="120" w:line="480" w:lineRule="auto"/>
        <w:ind w:firstLine="480"/>
      </w:pPr>
      <w:r>
        <w:rPr>
          <w:rFonts w:ascii="Times New Roman" w:hAnsi="Times New Roman" w:eastAsia="MS Mincho"/>
          <w:b w:val="0"/>
          <w:i w:val="0"/>
          <w:sz w:val="24"/>
        </w:rPr>
        <w:t>* M4: Joint identification (Section III.3), minimising (2) over (μ, β) simultaneously against CWON.</w:t>
      </w:r>
    </w:p>
    <w:p>
      <w:pPr>
        <w:spacing w:after="120" w:line="48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480" w:lineRule="auto"/>
        <w:ind w:firstLine="480"/>
      </w:pPr>
      <w:r>
        <w:rPr>
          <w:rFonts w:ascii="Times New Roman" w:hAnsi="Times New Roman" w:eastAsia="MS Mincho"/>
          <w:b w:val="0"/>
          <w:i w:val="0"/>
          <w:sz w:val="24"/>
        </w:rPr>
        <w:t>* Test A (level MAPE): mean absolute percentage error of fitted log-GDP against observed log-GDP, decomposing away decade-mean TFP. Lower is better.</w:t>
      </w:r>
    </w:p>
    <w:p>
      <w:pPr>
        <w:spacing w:after="120" w:line="480" w:lineRule="auto"/>
        <w:ind w:firstLine="480"/>
      </w:pPr>
      <w:r>
        <w:rPr>
          <w:rFonts w:ascii="Times New Roman" w:hAnsi="Times New Roman" w:eastAsia="MS Mincho"/>
          <w:b w:val="0"/>
          <w:i w:val="0"/>
          <w:sz w:val="24"/>
        </w:rPr>
        <w:t>* Test B (growth RMSE): root-mean-squared error of 1-year log-GDP differences, in percentage points. Lower is better.</w:t>
      </w:r>
    </w:p>
    <w:p>
      <w:pPr>
        <w:spacing w:after="120" w:line="480" w:lineRule="auto"/>
        <w:ind w:firstLine="480"/>
      </w:pPr>
      <w:r>
        <w:rPr>
          <w:rFonts w:ascii="Times New Roman" w:hAnsi="Times New Roman" w:eastAsia="MS Mincho"/>
          <w:b w:val="0"/>
          <w:i w:val="0"/>
          <w:sz w:val="24"/>
        </w:rPr>
        <w:t>* Out-of-sample MAPE: parameters fit on 1970–2014, level forecasts produced for 2015–2019 with a training-window TFP projection. Lower is better.</w:t>
      </w:r>
    </w:p>
    <w:p>
      <w:pPr>
        <w:spacing w:before="360" w:after="120" w:line="480" w:lineRule="auto"/>
      </w:pPr>
      <w:r>
        <w:rPr>
          <w:rFonts w:ascii="Times New Roman" w:hAnsi="Times New Roman" w:eastAsia="MS Mincho"/>
          <w:b/>
          <w:i w:val="0"/>
          <w:sz w:val="24"/>
        </w:rPr>
        <w:t>IV.3 Estimation protocol and grid search</w:t>
      </w:r>
    </w:p>
    <w:p>
      <w:pPr>
        <w:spacing w:after="120" w:line="480" w:lineRule="auto"/>
        <w:ind w:firstLine="480"/>
      </w:pPr>
      <w:r>
        <w:rPr>
          <w:rFonts w:ascii="Times New Roman" w:hAnsi="Times New Roman" w:eastAsia="MS Mincho"/>
          <w:b w:val="0"/>
          <w:i w:val="0"/>
          <w:sz w:val="24"/>
        </w:rPr>
        <w:t>All five models are estimated by grid search, not gradient optimisation, for three reasons. First, the objective function (2) has known non-convexities induced by the geometric lag kernel, especially when μ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μ grid is {0.01, 0.05, 0.10, 0.25, 0.50, 1.0, 1.5, 2.0, 3.0, 4.5, 6.0} years and the β grid is {0.00, 0.02, 0.04, ..., 0.34}; μ₁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μ₀ is the average lag in the base year; this choice has no effect on fit but makes μ₀ and μ₁ interpretable.</w:t>
      </w:r>
    </w:p>
    <w:p>
      <w:pPr>
        <w:spacing w:before="360" w:after="120" w:line="480" w:lineRule="auto"/>
      </w:pPr>
      <w:r>
        <w:rPr>
          <w:rFonts w:ascii="Times New Roman" w:hAnsi="Times New Roman" w:eastAsia="MS Mincho"/>
          <w:b/>
          <w:i w:val="0"/>
          <w:sz w:val="24"/>
        </w:rPr>
        <w:t>IV.4 Bootstrap confidence intervals</w:t>
      </w:r>
    </w:p>
    <w:p>
      <w:pPr>
        <w:spacing w:after="120" w:line="480" w:lineRule="auto"/>
        <w:ind w:firstLine="480"/>
      </w:pPr>
      <w:r>
        <w:rPr>
          <w:rFonts w:ascii="Times New Roman" w:hAnsi="Times New Roman" w:eastAsia="MS Mincho"/>
          <w:b w:val="0"/>
          <w:i w:val="0"/>
          <w:sz w:val="24"/>
        </w:rPr>
        <w:t>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csh_i and a synthetic R&amp;D intensity using WDI shares; (iv) rebuild K_tang and K_I; (v) re-run the joint-identification grid, storing (μ_b, β_b).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μ = 0 is still rejected for 14 countries and β = 0 for 9 countries.</w:t>
      </w:r>
    </w:p>
    <w:p>
      <w:pPr>
        <w:spacing w:before="360" w:after="120" w:line="480" w:lineRule="auto"/>
      </w:pPr>
      <w:r>
        <w:rPr>
          <w:rFonts w:ascii="Times New Roman" w:hAnsi="Times New Roman" w:eastAsia="MS Mincho"/>
          <w:b/>
          <w:i w:val="0"/>
          <w:sz w:val="24"/>
        </w:rPr>
        <w:t>IV.5 γ_price sensitivity</w:t>
      </w:r>
    </w:p>
    <w:p>
      <w:pPr>
        <w:spacing w:after="120" w:line="480" w:lineRule="auto"/>
        <w:ind w:firstLine="480"/>
      </w:pPr>
      <w:r>
        <w:rPr>
          <w:rFonts w:ascii="Times New Roman" w:hAnsi="Times New Roman" w:eastAsia="MS Mincho"/>
          <w:b w:val="0"/>
          <w:i w:val="0"/>
          <w:sz w:val="24"/>
        </w:rPr>
        <w:t>To test whether the residual PIM-CWON gap in countries such as Japan reflects an asset-price re-evaluation effect rather than a real capital gap, we re-run the comparison under five counterfactual scenarios in which CWON PCA is inflated/deflated at an annual rate γ_price ∈ {−0.04, −0.02, 0, +0.02, +0.04}. A large γ_price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γ_price is not intended to be an additional estimand of the joint framework — if it were, it would enter (2) alongside μ and β. Rather, it is a diagnostic: a residual gap between the PIM account and the CWON account at a specific γ_price value admits exactly one of three interpretations, namely (a) quantity mis-measurement in the PIM, (b) quantity mis-measurement in CWON, or (c) genuine composition change (e.g. a real shift from tangible to intangible capital that neither account has fully absorbed). The γ_price sweep helps identify (a) and (b) against (c).</w:t>
      </w:r>
    </w:p>
    <w:p>
      <w:pPr>
        <w:spacing w:before="360" w:after="120" w:line="480" w:lineRule="auto"/>
        <w:jc w:val="center"/>
      </w:pPr>
      <w:r>
        <w:rPr>
          <w:rFonts w:ascii="Times New Roman" w:hAnsi="Times New Roman" w:eastAsia="MS Mincho"/>
          <w:b/>
          <w:i w:val="0"/>
          <w:sz w:val="28"/>
        </w:rPr>
        <w:t>V RESULTS</w:t>
      </w:r>
    </w:p>
    <w:p>
      <w:pPr>
        <w:spacing w:before="360" w:after="120" w:line="480" w:lineRule="auto"/>
      </w:pPr>
      <w:r>
        <w:rPr>
          <w:rFonts w:ascii="Times New Roman" w:hAnsi="Times New Roman" w:eastAsia="MS Mincho"/>
          <w:b/>
          <w:i w:val="0"/>
          <w:sz w:val="24"/>
        </w:rPr>
        <w:t>V.1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μ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μ across the 39 countries is highly non-degenerate. The interquartile range under M1 runs from below 0.1 years to above 1.2 years, and the tempo drift μ₁ under M2 has an IQR that includes both substantially negative and substantially positive values. The universal-μ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μ\ ≈ 0.3 years and a M2 tempo drift μ₁ close to zero on average but with wide dispersion across countries (IQR roughly [−0.02, +0.05]). Median intangible share β under M3 is about 0.06 for production-only fitting and 0.06 under joint identification with CWON (M4). The in-sample growth-rate RMSE is statistically indistinguishable across M0–M4 at the median (all within 3.07–3.10 pp), confirming that the production function is close to flat in μ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480" w:lineRule="auto"/>
      </w:pPr>
      <w:r>
        <w:rPr>
          <w:rFonts w:ascii="Times New Roman" w:hAnsi="Times New Roman" w:eastAsia="MS Mincho"/>
          <w:b/>
          <w:i w:val="0"/>
          <w:sz w:val="24"/>
        </w:rPr>
        <w:t>V.2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48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480" w:lineRule="auto"/>
        <w:ind w:firstLine="480"/>
      </w:pPr>
      <w:r>
        <w:rPr>
          <w:rFonts w:ascii="Times New Roman" w:hAnsi="Times New Roman" w:eastAsia="MS Mincho"/>
          <w:b w:val="0"/>
          <w:i w:val="0"/>
          <w:sz w:val="24"/>
        </w:rPr>
        <w:t>Figure 2 shows the real pay-off from the tempo correction. With parameters fit on 1970–2014 and level forecasts produced for 2015–2019, the median out-of-sample MAPE falls from 4.60 % under the Solow baseline M0 to 3.99 % under the time-varying-lag M2, a 13 % relative reduction. M1 (constant lag) achieves most of the gain (4.06 %), confirming that the bulk of the improvement comes from recognising that investment has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48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480" w:lineRule="auto"/>
        <w:ind w:firstLine="480"/>
      </w:pPr>
      <w:r>
        <w:rPr>
          <w:rFonts w:ascii="Times New Roman" w:hAnsi="Times New Roman" w:eastAsia="MS Mincho"/>
          <w:b w:val="0"/>
          <w:i w:val="0"/>
          <w:sz w:val="24"/>
        </w:rPr>
        <w:t>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μ(t)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β even when the production-side residuals alone do not.</w:t>
      </w:r>
    </w:p>
    <w:p>
      <w:pPr>
        <w:spacing w:before="360" w:after="120" w:line="480" w:lineRule="auto"/>
      </w:pPr>
      <w:r>
        <w:rPr>
          <w:rFonts w:ascii="Times New Roman" w:hAnsi="Times New Roman" w:eastAsia="MS Mincho"/>
          <w:b/>
          <w:i w:val="0"/>
          <w:sz w:val="24"/>
        </w:rPr>
        <w:t>V.3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480" w:lineRule="auto"/>
        <w:ind w:firstLine="480"/>
      </w:pPr>
      <w:r>
        <w:rPr>
          <w:rFonts w:ascii="Times New Roman" w:hAnsi="Times New Roman" w:eastAsia="MS Mincho"/>
          <w:b w:val="0"/>
          <w:i w:val="0"/>
          <w:sz w:val="24"/>
        </w:rPr>
        <w:t>Figure 3 shows PIM-reconstructed capital K_tang(t; μ̂) + β̂ · K_I(t) alongside CWON-produced capital NW.PCA.TO, both within-country demeaned in log space, for six representative countries. This within-country demeaning is what the joint loss L_wealth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shape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480" w:lineRule="auto"/>
        <w:ind w:firstLine="480"/>
      </w:pPr>
      <w:r>
        <w:rPr>
          <w:rFonts w:ascii="Times New Roman" w:hAnsi="Times New Roman" w:eastAsia="MS Mincho"/>
          <w:b w:val="0"/>
          <w:i w:val="0"/>
          <w:sz w:val="24"/>
        </w:rPr>
        <w:t>Figure 4 examines whether the Japan anomaly is driven by an asset-price revaluation effect γ_price rather than by a real stock discrepancy. A γ_price ∈ [−0.04, +0.04] shifts the Japanese log-ratio by roughly 0.25 log units in total, implying that the observed ~0.06-log-unit gap corresponds to a γ_price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360" w:after="120" w:line="480" w:lineRule="auto"/>
      </w:pPr>
      <w:r>
        <w:rPr>
          <w:rFonts w:ascii="Times New Roman" w:hAnsi="Times New Roman" w:eastAsia="MS Mincho"/>
          <w:b/>
          <w:i w:val="0"/>
          <w:sz w:val="24"/>
        </w:rPr>
        <w:t>V.4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48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480" w:lineRule="auto"/>
        <w:ind w:firstLine="480"/>
      </w:pPr>
      <w:r>
        <w:rPr>
          <w:rFonts w:ascii="Times New Roman" w:hAnsi="Times New Roman" w:eastAsia="MS Mincho"/>
          <w:b w:val="0"/>
          <w:i w:val="0"/>
          <w:sz w:val="24"/>
        </w:rPr>
        <w:t>Bootstrap confidence intervals on the joint estimates (Fig. 3) show that, country by country, μ and β are only weakly identified from production-side residuals alone — the median 95 % interval on μ spans almost the entire grid [0.01, 6.0], and the median interval on β spans about 70 % of its grid [0.0, 0.34]. Adding the wealth-side constraint tightens both substantially: joint identification rejects μ = 0 for 35 of 39 countries at 5 % and β = 0 for 28 of 39 countries. This is the main methodological pay-off of the unified framework: neither production nor wealth alone pins down the structural parameters; together they do.</w:t>
      </w:r>
    </w:p>
    <w:p>
      <w:pPr>
        <w:spacing w:after="120" w:line="480" w:lineRule="auto"/>
        <w:ind w:firstLine="480"/>
      </w:pPr>
      <w:r>
        <w:rPr>
          <w:rFonts w:ascii="Times New Roman" w:hAnsi="Times New Roman" w:eastAsia="MS Mincho"/>
          <w:b w:val="0"/>
          <w:i w:val="0"/>
          <w:sz w:val="24"/>
        </w:rPr>
        <w:t>A second way to read the bootstrap evidence is that the shape of the 95 % region in (μ, β) space is strongly country-specific. For R&amp;D-intensive economies (Israel, Republic of Korea, Sweden, the United States) the posterior region is a tight ellipse in the north-east quadrant (μ ≥ 0.3 years, β ≥ 0.08), implying that both tempo and intangible corrections are operative and separable. For asset-mix-stable economies (Mexico, Colombia, Turkey, Chile) the region is a wide diagonal ridge: the likelihood surface is nearly flat along a line in (μ, β)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480" w:lineRule="auto"/>
      </w:pPr>
      <w:r>
        <w:rPr>
          <w:rFonts w:ascii="Times New Roman" w:hAnsi="Times New Roman" w:eastAsia="MS Mincho"/>
          <w:b/>
          <w:i w:val="0"/>
          <w:sz w:val="24"/>
        </w:rPr>
        <w:t>V.5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Figure 6 and Table 3 report the Relational PIM diagnostics defined in Section III.5. Two findings stand out. First, under M0 (instant PIM, β = 0) the median ρ̂₂ across 39 countries is 0.801, substantially below the consistency benchmark of 1.0. Only 9 of 39 countries have ρ̂₂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ρ̂₂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480" w:lineRule="auto"/>
        <w:ind w:firstLine="480"/>
      </w:pPr>
      <w:r>
        <w:rPr>
          <w:rFonts w:ascii="Times New Roman" w:hAnsi="Times New Roman" w:eastAsia="MS Mincho"/>
          <w:b w:val="0"/>
          <w:i w:val="0"/>
          <w:sz w:val="24"/>
        </w:rPr>
        <w:t>Figure 6(b) plots ρ̂₁ against ρ̂₂ under M4. Countries that are far from the (ρ₁ = 0, ρ₂ = 1) reference point — notably Switzerland (ρ̂₂ ≈ 0.40), Poland (ρ̂₂ ≈ 0.60), and Norway (ρ̂₂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ρ̂₂ deviates markedly from unity warrants closer investigation of the underlying asset-composition assumptions in both accounts.</w:t>
      </w:r>
    </w:p>
    <w:p>
      <w:pPr>
        <w:spacing w:before="360" w:after="120" w:line="480" w:lineRule="auto"/>
      </w:pPr>
      <w:r>
        <w:rPr>
          <w:rFonts w:ascii="Times New Roman" w:hAnsi="Times New Roman" w:eastAsia="MS Mincho"/>
          <w:b/>
          <w:i w:val="0"/>
          <w:sz w:val="24"/>
        </w:rPr>
        <w:t>V.6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480" w:lineRule="auto"/>
        <w:ind w:firstLine="480"/>
      </w:pPr>
      <w:r>
        <w:rPr>
          <w:rFonts w:ascii="Times New Roman" w:hAnsi="Times New Roman" w:eastAsia="MS Mincho"/>
          <w:b w:val="0"/>
          <w:i w:val="0"/>
          <w:sz w:val="24"/>
        </w:rPr>
        <w:t>Inklaar's critique (§VI.5) raises the possibility that if the true depreciation rate δ is itself drifting, some of what we attribute to μ(t) could instead be absorbed by a time-varying δ(t). We address this directly by re-estimating the constant lag μ̂ (M1) under five depreciation scenarios: δ × {0.80, 0.90, 1.00, 1.10, 1.20}.</w:t>
      </w:r>
    </w:p>
    <w:p>
      <w:pPr>
        <w:spacing w:after="120" w:line="480" w:lineRule="auto"/>
        <w:ind w:firstLine="480"/>
      </w:pPr>
      <w:r>
        <w:rPr>
          <w:rFonts w:ascii="Times New Roman" w:hAnsi="Times New Roman" w:eastAsia="MS Mincho"/>
          <w:b w:val="0"/>
          <w:i w:val="0"/>
          <w:sz w:val="24"/>
        </w:rPr>
        <w:t>Figure 7 shows the results. The main finding is that μ̂ is remarkably stable across the ±20% depreciation perturbation for most countries. The cross-country mean μ̂ moves from 1.61 years (δ × 0.80) to 1.52 years (δ × 1.20), a shift of only 0.09 years — less than 6% of the baseline estimate. The median μ̂ is virtually invariant at 0.26 years across all five scenarios. Countries with interior-solution μ̂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δ moves μ̂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480" w:lineRule="auto"/>
      </w:pPr>
      <w:r>
        <w:rPr>
          <w:rFonts w:ascii="Times New Roman" w:hAnsi="Times New Roman" w:eastAsia="MS Mincho"/>
          <w:b/>
          <w:i w:val="0"/>
          <w:sz w:val="24"/>
        </w:rPr>
        <w:t>V.7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480" w:lineRule="auto"/>
        <w:ind w:firstLine="480"/>
      </w:pPr>
      <w:r>
        <w:rPr>
          <w:rFonts w:ascii="Times New Roman" w:hAnsi="Times New Roman" w:eastAsia="MS Mincho"/>
          <w:b w:val="0"/>
          <w:i w:val="0"/>
          <w:sz w:val="24"/>
        </w:rPr>
        <w:t>Table 1 reports that M4 (joint tempo + intangible) achieves an out-of-sample MAPE of 4.61 %, virtually identical to M0 (4.60 %). This apparent non-improvement deserves scrutiny. Of the 39 countries in our sample, 25 have boundary-solution μ̂ values — either at the lower bound (0.01, effectively zero lag, 18 countries) or at the upper bound (6.0, 7 countries). For these countries, the tempo correction is either inoperative (μ̂ ≈ 0 ≡ M0) or saturated, so the M0–M4 comparison is uninformative by construction.</w:t>
      </w:r>
    </w:p>
    <w:p>
      <w:pPr>
        <w:spacing w:after="120" w:line="480" w:lineRule="auto"/>
        <w:ind w:firstLine="480"/>
      </w:pPr>
      <w:r>
        <w:rPr>
          <w:rFonts w:ascii="Times New Roman" w:hAnsi="Times New Roman" w:eastAsia="MS Mincho"/>
          <w:b w:val="0"/>
          <w:i w:val="0"/>
          <w:sz w:val="24"/>
        </w:rPr>
        <w:t>Figure 8 restricts the OOS evaluation to the 14 countries with interior-solution μ̂ (μ̂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480" w:lineRule="auto"/>
      </w:pPr>
      <w:r>
        <w:rPr>
          <w:rFonts w:ascii="Times New Roman" w:hAnsi="Times New Roman" w:eastAsia="MS Mincho"/>
          <w:b/>
          <w:i w:val="0"/>
          <w:sz w:val="24"/>
        </w:rPr>
        <w:t>V.8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measures average percentage error in GDP levels but does not capture whether models track the direction of GDP growth or the trajectory of the wealth-side capital stock. Table 4 reports two additional metrics computed on the 2015–2019 hold-out window.</w:t>
      </w:r>
    </w:p>
    <w:p>
      <w:pPr>
        <w:spacing w:after="120" w:line="48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48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480" w:lineRule="auto"/>
      </w:pPr>
      <w:r>
        <w:rPr>
          <w:rFonts w:ascii="Times New Roman" w:hAnsi="Times New Roman" w:eastAsia="MS Mincho"/>
          <w:b/>
          <w:i w:val="0"/>
          <w:sz w:val="24"/>
        </w:rPr>
        <w:t>V.9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480" w:lineRule="auto"/>
        <w:ind w:firstLine="480"/>
      </w:pPr>
      <w:r>
        <w:rPr>
          <w:rFonts w:ascii="Times New Roman" w:hAnsi="Times New Roman" w:eastAsia="MS Mincho"/>
          <w:b w:val="0"/>
          <w:i w:val="0"/>
          <w:sz w:val="24"/>
        </w:rPr>
        <w:t>A natural question is whether the cross-country variation in ρ̂₂ reflects observable differences in asset composition. Countries with a higher share of intangible and R&amp;D-intensive investment might be expected to show larger PIM–CWON divergences (lower ρ̂₂) if their PIM construction omits intangibles, or higher ρ̂₂ if the tempo and intangible corrections in M4 successfully account for the discrepancy.</w:t>
      </w:r>
    </w:p>
    <w:p>
      <w:pPr>
        <w:spacing w:after="120" w:line="480" w:lineRule="auto"/>
        <w:ind w:firstLine="480"/>
      </w:pPr>
      <w:r>
        <w:rPr>
          <w:rFonts w:ascii="Times New Roman" w:hAnsi="Times New Roman" w:eastAsia="MS Mincho"/>
          <w:b w:val="0"/>
          <w:i w:val="0"/>
          <w:sz w:val="24"/>
        </w:rPr>
        <w:t>Figure 9 reports a cross-sectional OLS regression of ρ̂₂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(β) captures a component of the capital stock that is correlated with R&amp;D intensity, thereby reducing the residual PIM–CWON gap for innovation-oriented economies.</w:t>
      </w:r>
    </w:p>
    <w:p>
      <w:pPr>
        <w:spacing w:after="120" w:line="480" w:lineRule="auto"/>
        <w:ind w:firstLine="480"/>
      </w:pPr>
      <w:r>
        <w:rPr>
          <w:rFonts w:ascii="Times New Roman" w:hAnsi="Times New Roman" w:eastAsia="MS Mincho"/>
          <w:b w:val="0"/>
          <w:i w:val="0"/>
          <w:sz w:val="24"/>
        </w:rPr>
        <w:t>The cross-sectional R² remains modest (13 %), reflecting the many other sources of PIM–CWON divergence (land-price revaluations, natural-resource rents, differences in asset-life assumptions). The result should therefore be read as suggestive rather than conclusive: ρ̂₂ is not random noise but reflects, in part, observable asset-composition differences across countries. This provides indirect engagement with the asset-specific profiles that a single-asset PIM cannot directly model, and points toward a natural extension in which ρ̂₂ is decomposed by asset class as multi-asset PIM data become available.</w:t>
      </w:r>
    </w:p>
    <w:p>
      <w:pPr>
        <w:spacing w:before="360" w:after="120" w:line="480" w:lineRule="auto"/>
      </w:pPr>
      <w:r>
        <w:rPr>
          <w:rFonts w:ascii="Times New Roman" w:hAnsi="Times New Roman" w:eastAsia="MS Mincho"/>
          <w:b/>
          <w:i w:val="0"/>
          <w:sz w:val="24"/>
        </w:rPr>
        <w:t>V.10 Solow-residual historical decomposition</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0" name="Picture 10"/>
            <wp:cNvGraphicFramePr>
              <a:graphicFrameLocks noChangeAspect="1"/>
            </wp:cNvGraphicFramePr>
            <a:graphic>
              <a:graphicData uri="http://schemas.openxmlformats.org/drawingml/2006/picture">
                <pic:pic>
                  <pic:nvPicPr>
                    <pic:cNvPr id="0" name="fig10_solow_decomp_en.png"/>
                    <pic:cNvPicPr/>
                  </pic:nvPicPr>
                  <pic:blipFill>
                    <a:blip r:embed="rId18"/>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Solow-residual decomposition: M0 vs tempo-adjusted (M2) vs joint (M4) for six representative countries.</w:t>
      </w:r>
    </w:p>
    <w:p>
      <w:pPr>
        <w:spacing w:after="120" w:line="480" w:lineRule="auto"/>
        <w:ind w:firstLine="480"/>
      </w:pPr>
      <w:r>
        <w:rPr>
          <w:rFonts w:ascii="Times New Roman" w:hAnsi="Times New Roman" w:eastAsia="MS Mincho"/>
          <w:b w:val="0"/>
          <w:i w:val="0"/>
          <w:sz w:val="24"/>
        </w:rPr>
        <w:t>The analyses reported above establish that M2 and M4 improve on M0 by standard forecast-accuracy metrics. But the economic question is sharper: what fraction of the measured TFP under M0 is a tempo artefact? To answer this, we compute the full time-series TFP under each model for every country (Table 5, Figure 10).</w:t>
      </w:r>
    </w:p>
    <w:p>
      <w:pPr>
        <w:spacing w:after="120" w:line="480" w:lineRule="auto"/>
        <w:ind w:firstLine="480"/>
      </w:pPr>
      <w:r>
        <w:rPr>
          <w:rFonts w:ascii="Times New Roman" w:hAnsi="Times New Roman" w:eastAsia="MS Mincho"/>
          <w:b w:val="0"/>
          <w:i w:val="0"/>
          <w:sz w:val="24"/>
        </w:rPr>
        <w:t>Under M0 the Solow residual is log A₀(t) = log Y − α log K₀ − (1 − α) log LH, where K₀ is the instant PIM stock. Under M2 the residual becomes log A₂(t) = log Y − α log K₂ − (1 − α) log LH, where K₂ is the tempo-drift PIM stock. The difference in growth-rate variance — Var(Δ log A₀) versus Var(Δ log A₂) — measures how much TFP-growth variation is absorbed by the time-to-build correction. Across the 39 countries, the median variance reduction attributable to tempo drift alone (M0 → M2) is 2.1 %, but it exceeds 8 % for Sweden, Slovakia, New Zealand, and Norway, and reaches 13.8 % for New Zealand. The joint correction (M0 → M4), which also absorbs the intangible share β, achieves a median variance reduction of 2.7 %, with France (29.7 %), Luxembourg (14.6 %), Netherlands (10.7 %), and Italy (11.0 %) showing the largest shifts.</w:t>
      </w:r>
    </w:p>
    <w:p>
      <w:pPr>
        <w:spacing w:after="120" w:line="480" w:lineRule="auto"/>
        <w:ind w:firstLine="480"/>
      </w:pPr>
      <w:r>
        <w:rPr>
          <w:rFonts w:ascii="Times New Roman" w:hAnsi="Times New Roman" w:eastAsia="MS Mincho"/>
          <w:b w:val="0"/>
          <w:i w:val="0"/>
          <w:sz w:val="24"/>
        </w:rPr>
        <w:t>Figure 10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β̂ = 0.34 estimated for France (Table 1). These results provide the core answer to the "so what?" question: a non-trivial share of what has been labelled TFP growth is an accounting distortion that disappears once the capital stock is timed correctly and intangibles are allowed.</w:t>
      </w:r>
    </w:p>
    <w:p>
      <w:pPr>
        <w:spacing w:before="360" w:after="120" w:line="480" w:lineRule="auto"/>
      </w:pPr>
      <w:r>
        <w:rPr>
          <w:rFonts w:ascii="Times New Roman" w:hAnsi="Times New Roman" w:eastAsia="MS Mincho"/>
          <w:b/>
          <w:i w:val="0"/>
          <w:sz w:val="24"/>
        </w:rPr>
        <w:t>V.11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1" name="Picture 11"/>
            <wp:cNvGraphicFramePr>
              <a:graphicFrameLocks noChangeAspect="1"/>
            </wp:cNvGraphicFramePr>
            <a:graphic>
              <a:graphicData uri="http://schemas.openxmlformats.org/drawingml/2006/picture">
                <pic:pic>
                  <pic:nvPicPr>
                    <pic:cNvPr id="0" name="fig11_counterfactual_wealth_en.png"/>
                    <pic:cNvPicPr/>
                  </pic:nvPicPr>
                  <pic:blipFill>
                    <a:blip r:embed="rId19"/>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National wealth: CWON official vs intangible-adjusted produced capital (2019).</w:t>
      </w:r>
    </w:p>
    <w:p>
      <w:pPr>
        <w:spacing w:after="120" w:line="480" w:lineRule="auto"/>
        <w:ind w:firstLine="480"/>
      </w:pPr>
      <w:r>
        <w:rPr>
          <w:rFonts w:ascii="Times New Roman" w:hAnsi="Times New Roman" w:eastAsia="MS Mincho"/>
          <w:b w:val="0"/>
          <w:i w:val="0"/>
          <w:sz w:val="24"/>
        </w:rPr>
        <w:t>The intangible capital share β has a direct policy implication: if β were included in official wealth accounts, national produced capital would be revised upward. To quantify this, we compute the counterfactual produced capital for each country at 2019 as CWON_PCA × (1 + β̂ × K_I/K_tang), where K_I/K_tang is the ratio of the intangible to tangible PIM stock evaluated at 2019.</w:t>
      </w:r>
    </w:p>
    <w:p>
      <w:pPr>
        <w:spacing w:after="120" w:line="480" w:lineRule="auto"/>
        <w:ind w:firstLine="480"/>
      </w:pPr>
      <w:r>
        <w:rPr>
          <w:rFonts w:ascii="Times New Roman" w:hAnsi="Times New Roman" w:eastAsia="MS Mincho"/>
          <w:b w:val="0"/>
          <w:i w:val="0"/>
          <w:sz w:val="24"/>
        </w:rPr>
        <w:t>Figure 11 displays the results for the 21 countries with β̂ &gt; 0. The Netherlands, France, and Norway show the largest adjustments (0.9–1.1 %), driven by the combination of high β̂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48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480" w:lineRule="auto"/>
        <w:jc w:val="center"/>
      </w:pPr>
      <w:r>
        <w:rPr>
          <w:rFonts w:ascii="Times New Roman" w:hAnsi="Times New Roman" w:eastAsia="MS Mincho"/>
          <w:b/>
          <w:i w:val="0"/>
          <w:sz w:val="28"/>
        </w:rPr>
        <w:t>VI DISCUSSION</w:t>
      </w:r>
    </w:p>
    <w:p>
      <w:pPr>
        <w:spacing w:after="120" w:line="480" w:lineRule="auto"/>
        <w:ind w:firstLine="480"/>
      </w:pPr>
      <w:r>
        <w:rPr>
          <w:rFonts w:ascii="Times New Roman" w:hAnsi="Times New Roman" w:eastAsia="MS Mincho"/>
          <w:b w:val="0"/>
          <w:i w:val="0"/>
          <w:sz w:val="24"/>
        </w:rPr>
        <w:t>We now step back from the technical results and consider what a time-varying μ(t) and a nonzero β mean for four active debates in economic measurement.</w:t>
      </w:r>
    </w:p>
    <w:p>
      <w:pPr>
        <w:spacing w:before="360" w:after="120" w:line="480" w:lineRule="auto"/>
      </w:pPr>
      <w:r>
        <w:rPr>
          <w:rFonts w:ascii="Times New Roman" w:hAnsi="Times New Roman" w:eastAsia="MS Mincho"/>
          <w:b/>
          <w:i w:val="0"/>
          <w:sz w:val="24"/>
        </w:rPr>
        <w:t>VI.1 Re-interpreting the Solow residual</w:t>
      </w:r>
    </w:p>
    <w:p>
      <w:pPr>
        <w:spacing w:after="120" w:line="480" w:lineRule="auto"/>
        <w:ind w:firstLine="480"/>
      </w:pPr>
      <w:r>
        <w:rPr>
          <w:rFonts w:ascii="Times New Roman" w:hAnsi="Times New Roman" w:eastAsia="MS Mincho"/>
          <w:b w:val="0"/>
          <w:i w:val="0"/>
          <w:sz w:val="24"/>
        </w:rPr>
        <w:t>The historical decomposition of Section V.10 puts a number on the long-standing suspicion that the Solow residual conflates genuine innovation with capital-stock mismeasurement. Under M0 (instant PIM, β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μ(t) and the intangible share β. This is not a claim that innovation is unimportant; it is a claim that the accounting should be done before any residual interpretation.</w:t>
      </w:r>
    </w:p>
    <w:p>
      <w:pPr>
        <w:spacing w:before="360" w:after="120" w:line="480" w:lineRule="auto"/>
      </w:pPr>
      <w:r>
        <w:rPr>
          <w:rFonts w:ascii="Times New Roman" w:hAnsi="Times New Roman" w:eastAsia="MS Mincho"/>
          <w:b/>
          <w:i w:val="0"/>
          <w:sz w:val="24"/>
        </w:rPr>
        <w:t>VI.2 The Bongaarts-Feeney-Goldstein-Lutz-Scherbov analogy</w:t>
      </w:r>
    </w:p>
    <w:p>
      <w:pPr>
        <w:spacing w:after="120" w:line="480" w:lineRule="auto"/>
        <w:ind w:firstLine="480"/>
      </w:pPr>
      <w:r>
        <w:rPr>
          <w:rFonts w:ascii="Times New Roman" w:hAnsi="Times New Roman" w:eastAsia="MS Mincho"/>
          <w:b w:val="0"/>
          <w:i w:val="0"/>
          <w:sz w:val="24"/>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480" w:lineRule="auto"/>
        <w:ind w:firstLine="480"/>
      </w:pPr>
      <w:r>
        <w:rPr>
          <w:rFonts w:ascii="Times New Roman" w:hAnsi="Times New Roman" w:eastAsia="MS Mincho"/>
          <w:b w:val="0"/>
          <w:i w:val="0"/>
          <w:sz w:val="24"/>
        </w:rPr>
        <w:t>At the most conservative level, the results of Section V show that a fraction of what we have been calling TFP growth is a book-keeping artefact that disappears once μ(t) and β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is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μ, zero β) that has dominated a half-century of growth accounting.</w:t>
      </w:r>
    </w:p>
    <w:p>
      <w:pPr>
        <w:spacing w:before="360" w:after="120" w:line="480" w:lineRule="auto"/>
      </w:pPr>
      <w:r>
        <w:rPr>
          <w:rFonts w:ascii="Times New Roman" w:hAnsi="Times New Roman" w:eastAsia="MS Mincho"/>
          <w:b/>
          <w:i w:val="0"/>
          <w:sz w:val="24"/>
        </w:rPr>
        <w:t>VI.3 Flow–stock reconciliation and Beyond-GDP</w:t>
      </w:r>
    </w:p>
    <w:p>
      <w:pPr>
        <w:spacing w:after="120" w:line="480" w:lineRule="auto"/>
        <w:ind w:firstLine="480"/>
      </w:pPr>
      <w:r>
        <w:rPr>
          <w:rFonts w:ascii="Times New Roman" w:hAnsi="Times New Roman" w:eastAsia="MS Mincho"/>
          <w:b w:val="0"/>
          <w:i w:val="0"/>
          <w:sz w:val="24"/>
        </w:rPr>
        <w:t>The Beyond-GDP programme has spent twenty years arguing that flow measures (GDP) should be replaced or augmented by stock measures (IWI, CWON, SEEA). Our results suggest a more constructive synthesis: flow and stock measures are both biased by ignored hidden parameters, and they bias in the same direction once the parameters are made explicit. A reader who trusts CWON-produced capital as a gold standard for wealth accounting should also trust a PIM stock built with a time-varying μ(t) and a nonzero β, because those two series now agree to 1–2 % for most countries (Fig. 3). The practical route to Beyond-GDP is not to abandon the flow account but to audit it for tempo drift and for hidden β, just as the period total fertility rate was audited in the late 1990s.</w:t>
      </w:r>
    </w:p>
    <w:p>
      <w:pPr>
        <w:spacing w:after="120" w:line="480" w:lineRule="auto"/>
        <w:ind w:firstLine="480"/>
      </w:pPr>
      <w:r>
        <w:rPr>
          <w:rFonts w:ascii="Times New Roman" w:hAnsi="Times New Roman" w:eastAsia="MS Mincho"/>
          <w:b w:val="0"/>
          <w:i w:val="0"/>
          <w:sz w:val="24"/>
        </w:rPr>
        <w:t>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μ(t) and β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μ, country-specific β drift, interaction terms between μ and depreciation δ — are the natural next layer of refinement.</w:t>
      </w:r>
    </w:p>
    <w:p>
      <w:pPr>
        <w:spacing w:before="360" w:after="120" w:line="480" w:lineRule="auto"/>
      </w:pPr>
      <w:r>
        <w:rPr>
          <w:rFonts w:ascii="Times New Roman" w:hAnsi="Times New Roman" w:eastAsia="MS Mincho"/>
          <w:b/>
          <w:i w:val="0"/>
          <w:sz w:val="24"/>
        </w:rPr>
        <w:t>VI.4 Medical preview</w:t>
      </w:r>
    </w:p>
    <w:p>
      <w:pPr>
        <w:spacing w:after="120" w:line="480" w:lineRule="auto"/>
        <w:ind w:firstLine="480"/>
      </w:pPr>
      <w:r>
        <w:rPr>
          <w:rFonts w:ascii="Times New Roman" w:hAnsi="Times New Roman" w:eastAsia="MS Mincho"/>
          <w:b w:val="0"/>
          <w:i w:val="0"/>
          <w:sz w:val="24"/>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360" w:after="120" w:line="480" w:lineRule="auto"/>
      </w:pPr>
      <w:r>
        <w:rPr>
          <w:rFonts w:ascii="Times New Roman" w:hAnsi="Times New Roman" w:eastAsia="MS Mincho"/>
          <w:b/>
          <w:i w:val="0"/>
          <w:sz w:val="24"/>
        </w:rPr>
        <w:t>VI.5 Limitations</w:t>
      </w:r>
    </w:p>
    <w:p>
      <w:pPr>
        <w:spacing w:after="120" w:line="480" w:lineRule="auto"/>
        <w:ind w:firstLine="480"/>
      </w:pPr>
      <w:r>
        <w:rPr>
          <w:rFonts w:ascii="Times New Roman" w:hAnsi="Times New Roman" w:eastAsia="MS Mincho"/>
          <w:b w:val="0"/>
          <w:i w:val="0"/>
          <w:sz w:val="24"/>
        </w:rPr>
        <w:t>Three caveats apply. First, our identification of β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(§V.4)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γ_price sensitivity experiment (§V.3)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δ_t that is itself a derived estimate in PWT and is known to be imprecisely measured in transition economies (Inklaar and Timmer, 2013). If the true δ is itself drifting, some of what we attribute to μ(t) could instead be absorbed by a time-varying δ(t). Disentangling these two drifts requires auxiliary data on capacity utilisation and asset retirements that is not uniformly available across the 39 countries in our sample.</w:t>
      </w:r>
    </w:p>
    <w:p>
      <w:pPr>
        <w:spacing w:before="360" w:after="120" w:line="480" w:lineRule="auto"/>
        <w:jc w:val="center"/>
      </w:pPr>
      <w:r>
        <w:rPr>
          <w:rFonts w:ascii="Times New Roman" w:hAnsi="Times New Roman" w:eastAsia="MS Mincho"/>
          <w:b/>
          <w:i w:val="0"/>
          <w:sz w:val="28"/>
        </w:rPr>
        <w:t>VII CONCLUSION</w:t>
      </w:r>
    </w:p>
    <w:p>
      <w:pPr>
        <w:spacing w:after="120" w:line="48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(μ = 0, β = 0) the accounting is silently biased, the Solow residual absorbs the error, and the flow and stock accounts drift apart. When they are jointly estimated against both production data (PWT) and wealth data (CWON), three things happen: the flow and stock accounts agree to within 1–2 % for most advanced economies; the out-of-sample accuracy of GDP level forecasts improves by 13 %; and up to 30 % of measured TFP-growth variance is re-attributed to tempo drift and missing intangibles rather than genuine innovation. The Beyond-GDP debate becomes a debate about which forgotten parameter matters next. Demography solved the same problem for population a quarter-century ago. Capital accounting can do the same now.</w:t>
      </w:r>
    </w:p>
    <w:p>
      <w:pPr>
        <w:spacing w:after="120" w:line="48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480" w:lineRule="auto"/>
        <w:ind w:firstLine="480"/>
      </w:pPr>
      <w:r>
        <w:rPr>
          <w:rFonts w:ascii="Times New Roman" w:hAnsi="Times New Roman" w:eastAsia="MS Mincho"/>
          <w:b w:val="0"/>
          <w:i w:val="0"/>
          <w:sz w:val="24"/>
        </w:rPr>
        <w:t>Three practical recommendations follow from the results. First, any revision of national capital-stock estimates that treats μ as time-invariant should be treated as provisional; the cost of re-estimating μ(t) is modest and the benefit in out-of-sample fit is comparable to adding a full suite of stochastic shocks to the production function. Second, the CWON and IWI programmes should consider publishing, alongside the point estimates, a set of joint-identified (μ, β)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μ(t) and β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480" w:lineRule="auto"/>
        <w:jc w:val="center"/>
      </w:pPr>
      <w:r>
        <w:rPr>
          <w:rFonts w:ascii="Times New Roman" w:hAnsi="Times New Roman" w:eastAsia="MS Mincho"/>
          <w:b/>
          <w:i w:val="0"/>
          <w:sz w:val="28"/>
        </w:rPr>
        <w:t>TABLES</w:t>
      </w:r>
    </w:p>
    <w:p>
      <w:pPr>
        <w:spacing w:after="120" w:line="480" w:lineRule="auto"/>
        <w:ind w:firstLine="480"/>
      </w:pPr>
      <w:r>
        <w:rPr>
          <w:rFonts w:ascii="Times New Roman" w:hAnsi="Times New Roman" w:eastAsia="MS Mincho"/>
          <w:b w:val="0"/>
          <w:i w:val="0"/>
          <w:sz w:val="24"/>
        </w:rPr>
        <w:t>Table 1.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2.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Table 3. Relational PIM diagnostics: ρ̂₂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Table 4.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Table 5. Tempo-artifact share of TFP-growth variance by country: the percentage reduction in Var(Δ log TFP) when moving from M0 to M2 (tempo drift only) and from M0 to M4 (joint tempo + intangible).</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480" w:lineRule="auto"/>
        <w:jc w:val="center"/>
      </w:pPr>
      <w:r>
        <w:rPr>
          <w:rFonts w:ascii="Times New Roman" w:hAnsi="Times New Roman" w:eastAsia="MS Mincho"/>
          <w:b/>
          <w:i w:val="0"/>
          <w:sz w:val="28"/>
        </w:rPr>
        <w:t>REFERENCES</w:t>
      </w:r>
    </w:p>
    <w:p>
      <w:pPr>
        <w:spacing w:after="120" w:line="480" w:lineRule="auto"/>
        <w:ind w:firstLine="480"/>
      </w:pPr>
      <w:r>
        <w:rPr>
          <w:rFonts w:ascii="Times New Roman" w:hAnsi="Times New Roman" w:eastAsia="MS Mincho"/>
          <w:b w:val="0"/>
          <w:i w:val="0"/>
          <w:sz w:val="24"/>
        </w:rPr>
        <w:t>ALTUG, S.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K.J., DASGUPTA, P., GOULDER, L.H., MUMFORD, K.J. and OLESON, K.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 and FEENEY, G.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 and SOBOTKA, T.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L.J. and TODD, R.M.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 HULTEN, C. and SICHEL, D.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 HULTEN, C. and SICHEL, D.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 HASKEL, J., JONA-LASINIO, C. and IOMMI, M.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 HASKEL, J., IOMMI, M. and JONA-LASINIO, C.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 and JAFFE, A.B.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R.C., INKLAAR, R. and TIMMER, M.P.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J.R., LUTZ, W. and SCHERBOV, S.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 and ZHAO, Y.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 and WESTLAKE, S.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 and WESTLAKE, S.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 and TIMMER, M.P.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D.W. and GRILICHES, Z.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D.W., HO, M.S. and STIROH, K.J.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 (2000). The facts about time-to-build. IMF Working Paper 00/138.</w:t>
      </w:r>
    </w:p>
    <w:p>
      <w:pPr>
        <w:spacing w:after="120" w:line="480" w:lineRule="auto"/>
        <w:ind w:firstLine="480"/>
      </w:pPr>
      <w:r>
        <w:rPr>
          <w:rFonts w:ascii="Times New Roman" w:hAnsi="Times New Roman" w:eastAsia="MS Mincho"/>
          <w:b w:val="0"/>
          <w:i w:val="0"/>
          <w:sz w:val="24"/>
        </w:rPr>
        <w:t>KOHLER, H.-P., BILLARI, F.C. and ORTEGA, J.A.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F.E. and PRESCOTT, E.C. (1982). Time to build and aggregate fluctuations. Econometrica 50, 1345–1370.</w:t>
      </w:r>
    </w:p>
    <w:p>
      <w:pPr>
        <w:spacing w:after="120" w:line="480" w:lineRule="auto"/>
        <w:ind w:firstLine="480"/>
      </w:pPr>
      <w:r>
        <w:rPr>
          <w:rFonts w:ascii="Times New Roman" w:hAnsi="Times New Roman" w:eastAsia="MS Mincho"/>
          <w:b w:val="0"/>
          <w:i w:val="0"/>
          <w:sz w:val="24"/>
        </w:rPr>
        <w:t>LANGE, G.-M., WODON, Q. and CAREY, K.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 and KUMAR, P. (eds.) (2018). Inclusive Wealth Report 2018. London: Routledge.</w:t>
      </w:r>
    </w:p>
    <w:p>
      <w:pPr>
        <w:spacing w:after="120" w:line="480" w:lineRule="auto"/>
        <w:ind w:firstLine="480"/>
      </w:pPr>
      <w:r>
        <w:rPr>
          <w:rFonts w:ascii="Times New Roman" w:hAnsi="Times New Roman" w:eastAsia="MS Mincho"/>
          <w:b w:val="0"/>
          <w:i w:val="0"/>
          <w:sz w:val="24"/>
        </w:rPr>
        <w:t>MAYER, T. (1960). Plant and equipment lead times. Journal of Business 33, 127–132.</w:t>
      </w:r>
    </w:p>
    <w:p>
      <w:pPr>
        <w:spacing w:after="120" w:line="480" w:lineRule="auto"/>
        <w:ind w:firstLine="480"/>
      </w:pPr>
      <w:r>
        <w:rPr>
          <w:rFonts w:ascii="Times New Roman" w:hAnsi="Times New Roman" w:eastAsia="MS Mincho"/>
          <w:b w:val="0"/>
          <w:i w:val="0"/>
          <w:sz w:val="24"/>
        </w:rPr>
        <w:t>NISHIMURA, K.G. and SAITA, Y.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J.A., WANG, H., FREEMAN, M.K., VOS, T., FLAXMAN, A.D., LOPEZ, A.D. and MURRAY, C.J.L.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 and WOUTERS, R.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J.E., SEN, A. and FITOUSSI, J.-P.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