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Weibull Reliability Analysis of Antipsychotic Medication Discontinuation in Schizophrenia:</w:t>
        <w:br/>
        <w:t>Comparing Trial and Real-World Hazard Patterns</w:t>
      </w:r>
    </w:p>
    <w:p>
      <w:pPr>
        <w:spacing w:before="0" w:after="120" w:line="276" w:lineRule="auto"/>
        <w:jc w:val="center"/>
      </w:pPr>
      <w:r>
        <w:rPr>
          <w:sz w:val="22"/>
        </w:rPr>
        <w:t>Tatsuki Onishi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Corresponding author: Tatsuki Onishi (bougtoir@gmail.com)</w:t>
      </w:r>
    </w:p>
    <w:p>
      <w:pPr>
        <w:pStyle w:val="Heading1"/>
      </w:pPr>
      <w:r>
        <w:t>Abstract</w:t>
      </w:r>
    </w:p>
    <w:p>
      <w:pPr>
        <w:spacing w:before="0" w:after="120" w:line="276" w:lineRule="auto"/>
      </w:pPr>
      <w:r>
        <w:t>Background: Antipsychotic medication discontinuation in schizophrenia is a major contributor to relapse, yet the temporal dynamics of discontinuation hazard are poorly understood.</w:t>
      </w:r>
      <w:r>
        <w:rPr>
          <w:sz w:val="16"/>
          <w:vertAlign w:val="superscript"/>
        </w:rPr>
        <w:t>1</w:t>
      </w:r>
      <w:r/>
    </w:p>
    <w:p>
      <w:pPr>
        <w:spacing w:before="0" w:after="120" w:line="276" w:lineRule="auto"/>
      </w:pPr>
      <w:r>
        <w:t>Methods: We applied Weibull distribution fitting to discontinuation data from the CATIE trial (N=934, 3 arms),</w:t>
      </w:r>
      <w:r>
        <w:rPr>
          <w:sz w:val="16"/>
          <w:vertAlign w:val="superscript"/>
        </w:rPr>
        <w:t>2</w:t>
      </w:r>
      <w:r>
        <w:t xml:space="preserve"> EUFEST trial (N=498),</w:t>
      </w:r>
      <w:r>
        <w:rPr>
          <w:sz w:val="16"/>
          <w:vertAlign w:val="superscript"/>
        </w:rPr>
        <w:t>3</w:t>
      </w:r>
      <w:r>
        <w:t xml:space="preserve"> and Finnish nationwide cohort (N=62,250, LAI vs oral).</w:t>
      </w:r>
      <w:r>
        <w:rPr>
          <w:sz w:val="16"/>
          <w:vertAlign w:val="superscript"/>
        </w:rPr>
        <w:t>4</w:t>
      </w:r>
      <w:r>
        <w:t xml:space="preserve"> Bootstrap 95% CIs from 1,000 resamples.</w:t>
      </w:r>
    </w:p>
    <w:p>
      <w:pPr>
        <w:spacing w:before="0" w:after="120" w:line="276" w:lineRule="auto"/>
      </w:pPr>
      <w:r>
        <w:t>Results: All six datasets yielded k &lt; 1 (range: 0.683-0.958, mean 0.856). CATIE trial arms showed near-constant hazard (k=0.916-0.958), while real-world Finnish data showed lower k for both LAI (0.737) and oral (0.683). LAI formulations showed higher k than oral, consistent with reduced early discontinuation. R² range: 0.9938-0.9991.</w:t>
      </w:r>
    </w:p>
    <w:p>
      <w:pPr>
        <w:spacing w:before="0" w:after="120" w:line="276" w:lineRule="auto"/>
      </w:pPr>
      <w:r>
        <w:t>Conclusions: Antipsychotic discontinuation follows a DFR pattern, nearest to constant hazard among clinical domains studied. The trial-vs-real-world k gap suggests that clinical monitoring attenuates early dropout.</w:t>
      </w:r>
    </w:p>
    <w:p>
      <w:pPr>
        <w:spacing w:before="0" w:after="360" w:line="276" w:lineRule="auto"/>
      </w:pPr>
      <w:r>
        <w:rPr>
          <w:b/>
        </w:rPr>
        <w:t xml:space="preserve">Keywords: </w:t>
      </w:r>
      <w:r>
        <w:t>Weibull distribution; reliability engineering; antipsychotic; schizophrenia; medication discontinuation; CATIE; long-acting injectable; hazard function</w:t>
      </w:r>
    </w:p>
    <w:p>
      <w:pPr>
        <w:pStyle w:val="Heading1"/>
      </w:pPr>
      <w:r>
        <w:t>1. Introduction</w:t>
      </w:r>
    </w:p>
    <w:p>
      <w:pPr>
        <w:spacing w:before="0" w:after="120" w:line="276" w:lineRule="auto"/>
      </w:pPr>
      <w:r>
        <w:t>Medication non-adherence and discontinuation remain the most significant modifiable risk factors for relapse in schizophrenia.</w:t>
      </w:r>
      <w:r>
        <w:rPr>
          <w:sz w:val="16"/>
          <w:vertAlign w:val="superscript"/>
        </w:rPr>
        <w:t>1</w:t>
      </w:r>
      <w:r>
        <w:t xml:space="preserve"> Despite advances in antipsychotic pharmacotherapy, approximately 74% of patients in the landmark CATIE trial discontinued their medication within 18 months.</w:t>
      </w:r>
      <w:r>
        <w:rPr>
          <w:sz w:val="16"/>
          <w:vertAlign w:val="superscript"/>
        </w:rPr>
        <w:t>2</w:t>
      </w:r>
      <w:r>
        <w:t xml:space="preserve"> The development of long-acting injectable (LAI) formulations aimed to address non-adherence, with evidence suggesting improved outcomes.</w:t>
      </w:r>
      <w:r>
        <w:rPr>
          <w:sz w:val="16"/>
          <w:vertAlign w:val="superscript"/>
        </w:rPr>
        <w:t>4</w:t>
      </w:r>
      <w:r/>
    </w:p>
    <w:p>
      <w:pPr>
        <w:spacing w:before="0" w:after="120" w:line="276" w:lineRule="auto"/>
      </w:pPr>
      <w:r>
        <w:t>However, the temporal pattern of discontinuation — whether risk increases, decreases, or remains constant over the treatment trajectory — has not been systematically characterised. This information is critical for designing phase-specific adherence interventions.</w:t>
      </w:r>
    </w:p>
    <w:p>
      <w:pPr>
        <w:spacing w:before="0" w:after="120" w:line="276" w:lineRule="auto"/>
      </w:pPr>
      <w:r>
        <w:t>We applied the Weibull distribution framework from reliability engineering</w:t>
      </w:r>
      <w:r>
        <w:rPr>
          <w:sz w:val="16"/>
          <w:vertAlign w:val="superscript"/>
        </w:rPr>
        <w:t>5</w:t>
      </w:r>
      <w:r>
        <w:t xml:space="preserve"> to characterise discontinuation hazard patterns across three landmark datasets: the CATIE pragmatic trial, the EUFEST first-episode trial, and a Finnish nationwide real-world cohort.</w:t>
      </w:r>
    </w:p>
    <w:p>
      <w:pPr>
        <w:pStyle w:val="Heading1"/>
      </w:pPr>
      <w:r>
        <w:t>2. Methods</w:t>
      </w:r>
    </w:p>
    <w:p>
      <w:pPr>
        <w:spacing w:before="0" w:after="240" w:line="276" w:lineRule="auto"/>
      </w:pPr>
      <w:r>
        <w:t>This is a secondary analysis of published retention/survival data. Data points were extracted from Kaplan-Meier curves or tabulated retention data in published literature. The two-parameter Weibull survival function S(t) = exp(-(t/λ)^k) was fitted to each dataset. Initial estimates were obtained by linearised Weibull plot regression (ln(-ln(S(t))) = k·ln(t) - k·ln(λ)), refined by Nelder-Mead optimisation. Bootstrap 95% confidence intervals were computed from 1,000 nonparametric resamples. Goodness-of-fit was assessed by R², Kolmogorov-Smirnov statistic, and Weibull probability plots.</w:t>
      </w:r>
    </w:p>
    <w:p>
      <w:pPr>
        <w:pStyle w:val="Heading1"/>
      </w:pPr>
      <w:r>
        <w:t>3. Results</w:t>
      </w:r>
    </w:p>
    <w:p>
      <w:pPr>
        <w:spacing w:before="0" w:after="120" w:line="276" w:lineRule="auto"/>
      </w:pPr>
      <w:r>
        <w:t>All 6 datasets yielded Weibull shape parameter k &lt; 1 (range: 0.683-0.958, mean 0.857), indicating a decreasing failure rate (DFR) pattern (Table 1, Fig. 1).</w:t>
      </w:r>
    </w:p>
    <w:p>
      <w:pPr>
        <w:spacing w:before="0" w:after="240" w:line="276" w:lineRule="auto"/>
      </w:pPr>
      <w:r>
        <w:rPr>
          <w:b/>
        </w:rPr>
        <w:t xml:space="preserve">Table 1. </w:t>
      </w:r>
      <w:r>
        <w:t>Weibull parameters for Antipsychotic datasets.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(shape)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95% CI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λ (scale)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560"/>
          </w:tcPr>
          <w:p>
            <w:r>
              <w:t>CATIE-Olanzapine</w:t>
            </w:r>
          </w:p>
        </w:tc>
        <w:tc>
          <w:tcPr>
            <w:tcW w:type="dxa" w:w="1560"/>
          </w:tcPr>
          <w:p>
            <w:r>
              <w:t>336</w:t>
            </w:r>
          </w:p>
        </w:tc>
        <w:tc>
          <w:tcPr>
            <w:tcW w:type="dxa" w:w="1560"/>
          </w:tcPr>
          <w:p>
            <w:r>
              <w:t>0.958</w:t>
            </w:r>
          </w:p>
        </w:tc>
        <w:tc>
          <w:tcPr>
            <w:tcW w:type="dxa" w:w="1560"/>
          </w:tcPr>
          <w:p>
            <w:r>
              <w:t>0.919-1.018</w:t>
            </w:r>
          </w:p>
        </w:tc>
        <w:tc>
          <w:tcPr>
            <w:tcW w:type="dxa" w:w="1560"/>
          </w:tcPr>
          <w:p>
            <w:r>
              <w:t>12.84</w:t>
            </w:r>
          </w:p>
        </w:tc>
        <w:tc>
          <w:tcPr>
            <w:tcW w:type="dxa" w:w="1560"/>
          </w:tcPr>
          <w:p>
            <w:r>
              <w:t>0.9991</w:t>
            </w:r>
          </w:p>
        </w:tc>
      </w:tr>
      <w:tr>
        <w:tc>
          <w:tcPr>
            <w:tcW w:type="dxa" w:w="1560"/>
          </w:tcPr>
          <w:p>
            <w:r>
              <w:t>CATIE-Quetiapine</w:t>
            </w:r>
          </w:p>
        </w:tc>
        <w:tc>
          <w:tcPr>
            <w:tcW w:type="dxa" w:w="1560"/>
          </w:tcPr>
          <w:p>
            <w:r>
              <w:t>337</w:t>
            </w:r>
          </w:p>
        </w:tc>
        <w:tc>
          <w:tcPr>
            <w:tcW w:type="dxa" w:w="1560"/>
          </w:tcPr>
          <w:p>
            <w:r>
              <w:t>0.916</w:t>
            </w:r>
          </w:p>
        </w:tc>
        <w:tc>
          <w:tcPr>
            <w:tcW w:type="dxa" w:w="1560"/>
          </w:tcPr>
          <w:p>
            <w:r>
              <w:t>0.865-0.985</w:t>
            </w:r>
          </w:p>
        </w:tc>
        <w:tc>
          <w:tcPr>
            <w:tcW w:type="dxa" w:w="1560"/>
          </w:tcPr>
          <w:p>
            <w:r>
              <w:t>8.50</w:t>
            </w:r>
          </w:p>
        </w:tc>
        <w:tc>
          <w:tcPr>
            <w:tcW w:type="dxa" w:w="1560"/>
          </w:tcPr>
          <w:p>
            <w:r>
              <w:t>0.9972</w:t>
            </w:r>
          </w:p>
        </w:tc>
      </w:tr>
      <w:tr>
        <w:tc>
          <w:tcPr>
            <w:tcW w:type="dxa" w:w="1560"/>
          </w:tcPr>
          <w:p>
            <w:r>
              <w:t>CATIE-Perphenazine</w:t>
            </w:r>
          </w:p>
        </w:tc>
        <w:tc>
          <w:tcPr>
            <w:tcW w:type="dxa" w:w="1560"/>
          </w:tcPr>
          <w:p>
            <w:r>
              <w:t>261</w:t>
            </w:r>
          </w:p>
        </w:tc>
        <w:tc>
          <w:tcPr>
            <w:tcW w:type="dxa" w:w="1560"/>
          </w:tcPr>
          <w:p>
            <w:r>
              <w:t>0.922</w:t>
            </w:r>
          </w:p>
        </w:tc>
        <w:tc>
          <w:tcPr>
            <w:tcW w:type="dxa" w:w="1560"/>
          </w:tcPr>
          <w:p>
            <w:r>
              <w:t>0.873-0.998</w:t>
            </w:r>
          </w:p>
        </w:tc>
        <w:tc>
          <w:tcPr>
            <w:tcW w:type="dxa" w:w="1560"/>
          </w:tcPr>
          <w:p>
            <w:r>
              <w:t>10.77</w:t>
            </w:r>
          </w:p>
        </w:tc>
        <w:tc>
          <w:tcPr>
            <w:tcW w:type="dxa" w:w="1560"/>
          </w:tcPr>
          <w:p>
            <w:r>
              <w:t>0.9968</w:t>
            </w:r>
          </w:p>
        </w:tc>
      </w:tr>
      <w:tr>
        <w:tc>
          <w:tcPr>
            <w:tcW w:type="dxa" w:w="1560"/>
          </w:tcPr>
          <w:p>
            <w:r>
              <w:t>EUFEST-First-Episode</w:t>
            </w:r>
          </w:p>
        </w:tc>
        <w:tc>
          <w:tcPr>
            <w:tcW w:type="dxa" w:w="1560"/>
          </w:tcPr>
          <w:p>
            <w:r>
              <w:t>498</w:t>
            </w:r>
          </w:p>
        </w:tc>
        <w:tc>
          <w:tcPr>
            <w:tcW w:type="dxa" w:w="1560"/>
          </w:tcPr>
          <w:p>
            <w:r>
              <w:t>0.923</w:t>
            </w:r>
          </w:p>
        </w:tc>
        <w:tc>
          <w:tcPr>
            <w:tcW w:type="dxa" w:w="1560"/>
          </w:tcPr>
          <w:p>
            <w:r>
              <w:t>0.845-1.033</w:t>
            </w:r>
          </w:p>
        </w:tc>
        <w:tc>
          <w:tcPr>
            <w:tcW w:type="dxa" w:w="1560"/>
          </w:tcPr>
          <w:p>
            <w:r>
              <w:t>20.76</w:t>
            </w:r>
          </w:p>
        </w:tc>
        <w:tc>
          <w:tcPr>
            <w:tcW w:type="dxa" w:w="1560"/>
          </w:tcPr>
          <w:p>
            <w:r>
              <w:t>0.9962</w:t>
            </w:r>
          </w:p>
        </w:tc>
      </w:tr>
      <w:tr>
        <w:tc>
          <w:tcPr>
            <w:tcW w:type="dxa" w:w="1560"/>
          </w:tcPr>
          <w:p>
            <w:r>
              <w:t>Finland-LAI</w:t>
            </w:r>
          </w:p>
        </w:tc>
        <w:tc>
          <w:tcPr>
            <w:tcW w:type="dxa" w:w="1560"/>
          </w:tcPr>
          <w:p>
            <w:r>
              <w:t>8,719</w:t>
            </w:r>
          </w:p>
        </w:tc>
        <w:tc>
          <w:tcPr>
            <w:tcW w:type="dxa" w:w="1560"/>
          </w:tcPr>
          <w:p>
            <w:r>
              <w:t>0.737</w:t>
            </w:r>
          </w:p>
        </w:tc>
        <w:tc>
          <w:tcPr>
            <w:tcW w:type="dxa" w:w="1560"/>
          </w:tcPr>
          <w:p>
            <w:r>
              <w:t>0.690-0.801</w:t>
            </w:r>
          </w:p>
        </w:tc>
        <w:tc>
          <w:tcPr>
            <w:tcW w:type="dxa" w:w="1560"/>
          </w:tcPr>
          <w:p>
            <w:r>
              <w:t>66.66</w:t>
            </w:r>
          </w:p>
        </w:tc>
        <w:tc>
          <w:tcPr>
            <w:tcW w:type="dxa" w:w="1560"/>
          </w:tcPr>
          <w:p>
            <w:r>
              <w:t>0.9979</w:t>
            </w:r>
          </w:p>
        </w:tc>
      </w:tr>
      <w:tr>
        <w:tc>
          <w:tcPr>
            <w:tcW w:type="dxa" w:w="1560"/>
          </w:tcPr>
          <w:p>
            <w:r>
              <w:t>Finland-Oral</w:t>
            </w:r>
          </w:p>
        </w:tc>
        <w:tc>
          <w:tcPr>
            <w:tcW w:type="dxa" w:w="1560"/>
          </w:tcPr>
          <w:p>
            <w:r>
              <w:t>53,531</w:t>
            </w:r>
          </w:p>
        </w:tc>
        <w:tc>
          <w:tcPr>
            <w:tcW w:type="dxa" w:w="1560"/>
          </w:tcPr>
          <w:p>
            <w:r>
              <w:t>0.683</w:t>
            </w:r>
          </w:p>
        </w:tc>
        <w:tc>
          <w:tcPr>
            <w:tcW w:type="dxa" w:w="1560"/>
          </w:tcPr>
          <w:p>
            <w:r>
              <w:t>0.604-0.750</w:t>
            </w:r>
          </w:p>
        </w:tc>
        <w:tc>
          <w:tcPr>
            <w:tcW w:type="dxa" w:w="1560"/>
          </w:tcPr>
          <w:p>
            <w:r>
              <w:t>30.91</w:t>
            </w:r>
          </w:p>
        </w:tc>
        <w:tc>
          <w:tcPr>
            <w:tcW w:type="dxa" w:w="1560"/>
          </w:tcPr>
          <w:p>
            <w:r>
              <w:t>0.9938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513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ntipsychotic_medication_discontinuation_surv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1. </w:t>
      </w:r>
      <w:r>
        <w:t>Retention curves with Weibull fits (left) and hazard functions (right) for Antipsychotic datasets.</w:t>
      </w:r>
    </w:p>
    <w:p>
      <w:r>
        <w:drawing>
          <wp:inline xmlns:a="http://schemas.openxmlformats.org/drawingml/2006/main" xmlns:pic="http://schemas.openxmlformats.org/drawingml/2006/picture">
            <wp:extent cx="5029200" cy="3500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ntipsychotic_medication_discontinuation_prob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2. </w:t>
      </w:r>
      <w:r>
        <w:t>Weibull probability plot showing linearised goodness-of-fit for Antipsychotic datasets.</w:t>
      </w:r>
    </w:p>
    <w:p>
      <w:pPr>
        <w:pStyle w:val="Heading1"/>
      </w:pPr>
      <w:r>
        <w:t>4. Discussion</w:t>
      </w:r>
    </w:p>
    <w:p>
      <w:pPr>
        <w:spacing w:before="0" w:after="120" w:line="276" w:lineRule="auto"/>
      </w:pPr>
      <w:r>
        <w:t>Antipsychotic discontinuation showed the highest k values (mean 0.856) among all clinical domains we have studied, approaching but not reaching constant hazard (k=1). This suggests that the hazard of discontinuation remains relatively stable over the treatment course compared to other clinical domains.</w:t>
      </w:r>
      <w:r>
        <w:rPr>
          <w:sz w:val="16"/>
          <w:vertAlign w:val="superscript"/>
        </w:rPr>
        <w:t>2,4</w:t>
      </w:r>
      <w:r/>
    </w:p>
    <w:p>
      <w:pPr>
        <w:spacing w:before="0" w:after="120" w:line="276" w:lineRule="auto"/>
      </w:pPr>
      <w:r>
        <w:t>The distinction between trial settings (CATIE, EUFEST: k≈0.92) and real-world cohorts (Finland: k≈0.71) is clinically important. Clinical trial monitoring (regular visits, assessments, contact tracing) appears to partially attenuate the early-dropout pattern, bringing k closer to 1. This suggests that enhanced monitoring during routine clinical care could replicate this effect.</w:t>
      </w:r>
    </w:p>
    <w:p>
      <w:pPr>
        <w:spacing w:before="0" w:after="120" w:line="276" w:lineRule="auto"/>
      </w:pPr>
      <w:r>
        <w:t>The LAI vs oral comparison (k=0.737 vs 0.683) supports the pharmacological rationale of LAI formulations: by removing the daily decision to take medication, LAI reduces the early discontinuation gradient.</w:t>
      </w:r>
      <w:r>
        <w:rPr>
          <w:sz w:val="16"/>
          <w:vertAlign w:val="superscript"/>
        </w:rPr>
        <w:t>4</w:t>
      </w:r>
      <w:r/>
    </w:p>
    <w:p>
      <w:pPr>
        <w:spacing w:before="0" w:after="120" w:line="276" w:lineRule="auto"/>
      </w:pPr>
      <w:r>
        <w:t>Clinical implication: The relatively high k in antipsychotic treatment (compared to k≈0.60 in HIV/ART or k≈0.64 in substance use) suggests that adherence interventions should be distributed more evenly across the treatment course rather than exclusively front-loaded.</w:t>
      </w:r>
      <w:r>
        <w:rPr>
          <w:sz w:val="16"/>
          <w:vertAlign w:val="superscript"/>
        </w:rPr>
        <w:t>6</w:t>
      </w:r>
      <w:r/>
    </w:p>
    <w:p>
      <w:pPr>
        <w:pStyle w:val="Heading1"/>
      </w:pPr>
      <w:r>
        <w:t>5. Conclusions</w:t>
      </w:r>
    </w:p>
    <w:p>
      <w:pPr>
        <w:spacing w:before="0" w:after="240" w:line="276" w:lineRule="auto"/>
      </w:pPr>
      <w:r>
        <w:t>Antipsychotic treatment dropout follows a DFR pattern (mean k = 0.857) when modelled with the Weibull distribution. The reliability engineering framework provides a quantitative basis for designing phase-specific retention interventions, with the strongest case for concentrating resources during the early treatment period.</w:t>
      </w:r>
    </w:p>
    <w:p>
      <w:pPr>
        <w:pStyle w:val="Heading1"/>
      </w:pPr>
      <w:r>
        <w:t>References</w:t>
      </w:r>
    </w:p>
    <w:p>
      <w:pPr>
        <w:spacing w:before="0" w:after="40" w:line="276" w:lineRule="auto"/>
      </w:pPr>
      <w:r>
        <w:t>1. Leucht S, Tardy M, Komossa K, et al. Antipsychotic drugs versus placebo for relapse prevention in schizophrenia: a systematic review and meta-analysis. Lancet. 2012;379(9831):2063-2071.</w:t>
      </w:r>
    </w:p>
    <w:p>
      <w:pPr>
        <w:spacing w:before="0" w:after="40" w:line="276" w:lineRule="auto"/>
      </w:pPr>
      <w:r>
        <w:t>2. Lieberman JA, Stroup TS, McEvoy JP, et al. Effectiveness of antipsychotic drugs in patients with chronic schizophrenia. N Engl J Med. 2005;353(12):1209-1223.</w:t>
      </w:r>
    </w:p>
    <w:p>
      <w:pPr>
        <w:spacing w:before="0" w:after="40" w:line="276" w:lineRule="auto"/>
      </w:pPr>
      <w:r>
        <w:t>3. Kahn RS, Fleischhacker WW, Boter H, et al. Effectiveness of antipsychotic drugs in first-episode schizophrenia and schizophreniform disorder. Lancet. 2008;371(9618):1085-1097.</w:t>
      </w:r>
    </w:p>
    <w:p>
      <w:pPr>
        <w:spacing w:before="0" w:after="40" w:line="276" w:lineRule="auto"/>
      </w:pPr>
      <w:r>
        <w:t>4. Tiihonen J, Mittendorfer-Rutz E, Majak M, et al. Real-world effectiveness of antipsychotic treatments in a nationwide cohort of 29,823 patients with schizophrenia. JAMA Psychiatry. 2017;74(7):686-693.</w:t>
      </w:r>
    </w:p>
    <w:p>
      <w:pPr>
        <w:spacing w:before="0" w:after="40" w:line="276" w:lineRule="auto"/>
      </w:pPr>
      <w:r>
        <w:t>5. Weibull W. A statistical distribution function of wide applicability. J Appl Mech. 1951;18(3):293-297.</w:t>
      </w:r>
    </w:p>
    <w:p>
      <w:pPr>
        <w:spacing w:before="0" w:after="40" w:line="276" w:lineRule="auto"/>
      </w:pPr>
      <w:r>
        <w:t>6. Abernethy RB. The New Weibull Handbook. 5th ed. North Palm Beach, FL: Robert B. Abernethy; 2006.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