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統合失調症における抗精神病薬中断のワイブル信頼性解析：</w:t>
        <w:br/>
        <w:t>臨床試験と実臨床データのハザードパターン比較</w:t>
      </w:r>
    </w:p>
    <w:p>
      <w:pPr>
        <w:spacing w:before="0" w:after="120" w:line="276" w:lineRule="auto"/>
        <w:jc w:val="center"/>
      </w:pPr>
      <w:r>
        <w:rPr>
          <w:sz w:val="22"/>
        </w:rPr>
        <w:t>大西 辰樹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責任著者: 大西 辰樹 (bougtoir@gmail.com)</w:t>
      </w:r>
    </w:p>
    <w:p>
      <w:pPr>
        <w:pStyle w:val="Heading1"/>
      </w:pPr>
      <w:r>
        <w:t>抄録</w:t>
      </w:r>
    </w:p>
    <w:p>
      <w:pPr>
        <w:spacing w:before="0" w:after="120" w:line="276" w:lineRule="auto"/>
      </w:pPr>
      <w:r>
        <w:t>背景: 統合失調症における抗精神病薬の中断は再発の主要因であるが、中断ハザードの時間的動態は十分に理解されていない。</w:t>
      </w:r>
    </w:p>
    <w:p>
      <w:pPr>
        <w:spacing w:before="0" w:after="120" w:line="276" w:lineRule="auto"/>
      </w:pPr>
      <w:r>
        <w:t>方法: CATIE試験(N=934、3群)、EUFEST試験(N=498)、フィンランド全国コホート(N=62,250、LAI vs 経口)の中断データにワイブル分布を適合させた。</w:t>
      </w:r>
    </w:p>
    <w:p>
      <w:pPr>
        <w:spacing w:before="0" w:after="120" w:line="276" w:lineRule="auto"/>
      </w:pPr>
      <w:r>
        <w:t>結果: 全6データセットでk &lt; 1（範囲: 0.683-0.958、平均0.856）。CATIE試験群はk≈0.92（ほぼ一定ハザード）、フィンランド実臨床データはLAI 0.737、経口 0.683と低値。LAIは経口より高kで初期中断減少と一致。</w:t>
      </w:r>
    </w:p>
    <w:p>
      <w:pPr>
        <w:spacing w:before="0" w:after="120" w:line="276" w:lineRule="auto"/>
      </w:pPr>
      <w:r>
        <w:t>結論: 抗精神病薬中断はDFRパターンに従うが、臨床領域中最も一定ハザードに近い。</w:t>
      </w:r>
    </w:p>
    <w:p>
      <w:pPr>
        <w:spacing w:before="0" w:after="360" w:line="276" w:lineRule="auto"/>
      </w:pPr>
      <w:r>
        <w:rPr>
          <w:b/>
        </w:rPr>
        <w:t xml:space="preserve">キーワード: </w:t>
      </w:r>
      <w:r>
        <w:t>ワイブル分布; 信頼性工学; 抗精神病薬; 統合失調症; 服薬中断; CATIE; 持効性注射剤; ハザード関数</w:t>
      </w:r>
    </w:p>
    <w:p>
      <w:pPr>
        <w:pStyle w:val="Heading1"/>
      </w:pPr>
      <w:r>
        <w:t>1. 緒言・方法</w:t>
      </w:r>
    </w:p>
    <w:p>
      <w:pPr>
        <w:spacing w:before="0" w:after="120" w:line="276" w:lineRule="auto"/>
      </w:pPr>
      <w:r>
        <w:t>Antipsychoticにおける治療脱落の時間的ハザードパターンを、信頼性工学のワイブル分布を用いて特性化した。</w:t>
      </w:r>
    </w:p>
    <w:p>
      <w:pPr>
        <w:spacing w:before="0" w:after="240" w:line="276" w:lineRule="auto"/>
      </w:pPr>
      <w:r>
        <w:t>公表済みKaplan-Meier曲線からデータを再構成し、2パラメータワイブル分布 S(t)=exp(-(t/λ)^k) を適合。Bootstrap法（1,000回再抽出）で95%信頼区間を算出した。</w:t>
      </w:r>
    </w:p>
    <w:p>
      <w:pPr>
        <w:pStyle w:val="Heading1"/>
      </w:pPr>
      <w:r>
        <w:t>2. 結果</w:t>
      </w:r>
    </w:p>
    <w:p>
      <w:pPr>
        <w:spacing w:before="0" w:after="120" w:line="276" w:lineRule="auto"/>
      </w:pPr>
      <w:r>
        <w:t>全6データセットでk &lt; 1（範囲: 0.683-0.958、平均0.857）が得られ、DFRパターンが確認された（表1、図1）。</w:t>
      </w:r>
    </w:p>
    <w:p>
      <w:pPr>
        <w:spacing w:before="0" w:after="240" w:line="276" w:lineRule="auto"/>
      </w:pPr>
      <w:r>
        <w:rPr>
          <w:b/>
        </w:rPr>
        <w:t xml:space="preserve">表 1. </w:t>
      </w:r>
      <w:r>
        <w:t>Antipsychoticデータセットのワイブルパラメータ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データセット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k（形状）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λ（尺度）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CATIE-Olanzapine</w:t>
            </w:r>
          </w:p>
        </w:tc>
        <w:tc>
          <w:tcPr>
            <w:tcW w:type="dxa" w:w="1560"/>
          </w:tcPr>
          <w:p>
            <w:r>
              <w:t>336</w:t>
            </w:r>
          </w:p>
        </w:tc>
        <w:tc>
          <w:tcPr>
            <w:tcW w:type="dxa" w:w="1560"/>
          </w:tcPr>
          <w:p>
            <w:r>
              <w:t>0.958</w:t>
            </w:r>
          </w:p>
        </w:tc>
        <w:tc>
          <w:tcPr>
            <w:tcW w:type="dxa" w:w="1560"/>
          </w:tcPr>
          <w:p>
            <w:r>
              <w:t>0.919-1.018</w:t>
            </w:r>
          </w:p>
        </w:tc>
        <w:tc>
          <w:tcPr>
            <w:tcW w:type="dxa" w:w="1560"/>
          </w:tcPr>
          <w:p>
            <w:r>
              <w:t>12.84</w:t>
            </w:r>
          </w:p>
        </w:tc>
        <w:tc>
          <w:tcPr>
            <w:tcW w:type="dxa" w:w="1560"/>
          </w:tcPr>
          <w:p>
            <w:r>
              <w:t>0.9991</w:t>
            </w:r>
          </w:p>
        </w:tc>
      </w:tr>
      <w:tr>
        <w:tc>
          <w:tcPr>
            <w:tcW w:type="dxa" w:w="1560"/>
          </w:tcPr>
          <w:p>
            <w:r>
              <w:t>CATIE-Quetiapine</w:t>
            </w:r>
          </w:p>
        </w:tc>
        <w:tc>
          <w:tcPr>
            <w:tcW w:type="dxa" w:w="1560"/>
          </w:tcPr>
          <w:p>
            <w:r>
              <w:t>337</w:t>
            </w:r>
          </w:p>
        </w:tc>
        <w:tc>
          <w:tcPr>
            <w:tcW w:type="dxa" w:w="1560"/>
          </w:tcPr>
          <w:p>
            <w:r>
              <w:t>0.916</w:t>
            </w:r>
          </w:p>
        </w:tc>
        <w:tc>
          <w:tcPr>
            <w:tcW w:type="dxa" w:w="1560"/>
          </w:tcPr>
          <w:p>
            <w:r>
              <w:t>0.865-0.985</w:t>
            </w:r>
          </w:p>
        </w:tc>
        <w:tc>
          <w:tcPr>
            <w:tcW w:type="dxa" w:w="1560"/>
          </w:tcPr>
          <w:p>
            <w:r>
              <w:t>8.50</w:t>
            </w:r>
          </w:p>
        </w:tc>
        <w:tc>
          <w:tcPr>
            <w:tcW w:type="dxa" w:w="1560"/>
          </w:tcPr>
          <w:p>
            <w:r>
              <w:t>0.9972</w:t>
            </w:r>
          </w:p>
        </w:tc>
      </w:tr>
      <w:tr>
        <w:tc>
          <w:tcPr>
            <w:tcW w:type="dxa" w:w="1560"/>
          </w:tcPr>
          <w:p>
            <w:r>
              <w:t>CATIE-Perphenazine</w:t>
            </w:r>
          </w:p>
        </w:tc>
        <w:tc>
          <w:tcPr>
            <w:tcW w:type="dxa" w:w="1560"/>
          </w:tcPr>
          <w:p>
            <w:r>
              <w:t>261</w:t>
            </w:r>
          </w:p>
        </w:tc>
        <w:tc>
          <w:tcPr>
            <w:tcW w:type="dxa" w:w="1560"/>
          </w:tcPr>
          <w:p>
            <w:r>
              <w:t>0.922</w:t>
            </w:r>
          </w:p>
        </w:tc>
        <w:tc>
          <w:tcPr>
            <w:tcW w:type="dxa" w:w="1560"/>
          </w:tcPr>
          <w:p>
            <w:r>
              <w:t>0.873-0.998</w:t>
            </w:r>
          </w:p>
        </w:tc>
        <w:tc>
          <w:tcPr>
            <w:tcW w:type="dxa" w:w="1560"/>
          </w:tcPr>
          <w:p>
            <w:r>
              <w:t>10.77</w:t>
            </w:r>
          </w:p>
        </w:tc>
        <w:tc>
          <w:tcPr>
            <w:tcW w:type="dxa" w:w="1560"/>
          </w:tcPr>
          <w:p>
            <w:r>
              <w:t>0.9968</w:t>
            </w:r>
          </w:p>
        </w:tc>
      </w:tr>
      <w:tr>
        <w:tc>
          <w:tcPr>
            <w:tcW w:type="dxa" w:w="1560"/>
          </w:tcPr>
          <w:p>
            <w:r>
              <w:t>EUFEST-First-Episode</w:t>
            </w:r>
          </w:p>
        </w:tc>
        <w:tc>
          <w:tcPr>
            <w:tcW w:type="dxa" w:w="1560"/>
          </w:tcPr>
          <w:p>
            <w:r>
              <w:t>498</w:t>
            </w:r>
          </w:p>
        </w:tc>
        <w:tc>
          <w:tcPr>
            <w:tcW w:type="dxa" w:w="1560"/>
          </w:tcPr>
          <w:p>
            <w:r>
              <w:t>0.923</w:t>
            </w:r>
          </w:p>
        </w:tc>
        <w:tc>
          <w:tcPr>
            <w:tcW w:type="dxa" w:w="1560"/>
          </w:tcPr>
          <w:p>
            <w:r>
              <w:t>0.845-1.033</w:t>
            </w:r>
          </w:p>
        </w:tc>
        <w:tc>
          <w:tcPr>
            <w:tcW w:type="dxa" w:w="1560"/>
          </w:tcPr>
          <w:p>
            <w:r>
              <w:t>20.76</w:t>
            </w:r>
          </w:p>
        </w:tc>
        <w:tc>
          <w:tcPr>
            <w:tcW w:type="dxa" w:w="1560"/>
          </w:tcPr>
          <w:p>
            <w:r>
              <w:t>0.9962</w:t>
            </w:r>
          </w:p>
        </w:tc>
      </w:tr>
      <w:tr>
        <w:tc>
          <w:tcPr>
            <w:tcW w:type="dxa" w:w="1560"/>
          </w:tcPr>
          <w:p>
            <w:r>
              <w:t>Finland-LAI</w:t>
            </w:r>
          </w:p>
        </w:tc>
        <w:tc>
          <w:tcPr>
            <w:tcW w:type="dxa" w:w="1560"/>
          </w:tcPr>
          <w:p>
            <w:r>
              <w:t>8,719</w:t>
            </w:r>
          </w:p>
        </w:tc>
        <w:tc>
          <w:tcPr>
            <w:tcW w:type="dxa" w:w="1560"/>
          </w:tcPr>
          <w:p>
            <w:r>
              <w:t>0.737</w:t>
            </w:r>
          </w:p>
        </w:tc>
        <w:tc>
          <w:tcPr>
            <w:tcW w:type="dxa" w:w="1560"/>
          </w:tcPr>
          <w:p>
            <w:r>
              <w:t>0.690-0.801</w:t>
            </w:r>
          </w:p>
        </w:tc>
        <w:tc>
          <w:tcPr>
            <w:tcW w:type="dxa" w:w="1560"/>
          </w:tcPr>
          <w:p>
            <w:r>
              <w:t>66.66</w:t>
            </w:r>
          </w:p>
        </w:tc>
        <w:tc>
          <w:tcPr>
            <w:tcW w:type="dxa" w:w="1560"/>
          </w:tcPr>
          <w:p>
            <w:r>
              <w:t>0.9979</w:t>
            </w:r>
          </w:p>
        </w:tc>
      </w:tr>
      <w:tr>
        <w:tc>
          <w:tcPr>
            <w:tcW w:type="dxa" w:w="1560"/>
          </w:tcPr>
          <w:p>
            <w:r>
              <w:t>Finland-Oral</w:t>
            </w:r>
          </w:p>
        </w:tc>
        <w:tc>
          <w:tcPr>
            <w:tcW w:type="dxa" w:w="1560"/>
          </w:tcPr>
          <w:p>
            <w:r>
              <w:t>53,531</w:t>
            </w:r>
          </w:p>
        </w:tc>
        <w:tc>
          <w:tcPr>
            <w:tcW w:type="dxa" w:w="1560"/>
          </w:tcPr>
          <w:p>
            <w:r>
              <w:t>0.683</w:t>
            </w:r>
          </w:p>
        </w:tc>
        <w:tc>
          <w:tcPr>
            <w:tcW w:type="dxa" w:w="1560"/>
          </w:tcPr>
          <w:p>
            <w:r>
              <w:t>0.604-0.750</w:t>
            </w:r>
          </w:p>
        </w:tc>
        <w:tc>
          <w:tcPr>
            <w:tcW w:type="dxa" w:w="1560"/>
          </w:tcPr>
          <w:p>
            <w:r>
              <w:t>30.91</w:t>
            </w:r>
          </w:p>
        </w:tc>
        <w:tc>
          <w:tcPr>
            <w:tcW w:type="dxa" w:w="1560"/>
          </w:tcPr>
          <w:p>
            <w:r>
              <w:t>0.9938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3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ntipsychotic_medication_discontinuation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図1. </w:t>
      </w:r>
      <w:r>
        <w:t>Antipsychoticの維持曲線とワイブル適合（左）およびハザード関数（右）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ntipsychotic_medication_discontinuation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図2. </w:t>
      </w:r>
      <w:r>
        <w:t>Antipsychoticのワイブル確率プロット（適合度評価）</w:t>
      </w:r>
    </w:p>
    <w:p>
      <w:pPr>
        <w:pStyle w:val="Heading1"/>
      </w:pPr>
      <w:r>
        <w:t>3. 結論</w:t>
      </w:r>
    </w:p>
    <w:p>
      <w:pPr>
        <w:spacing w:before="0" w:after="240" w:line="276" w:lineRule="auto"/>
      </w:pPr>
      <w:r>
        <w:t>Antipsychotic治療脱落はDFRパターン（平均k=0.857）に従う。信頼性工学フレームワークはフェーズ特異的維持戦略設計の定量的基盤を提供する。</w:t>
      </w:r>
    </w:p>
    <w:p>
      <w:pPr>
        <w:pStyle w:val="Heading1"/>
      </w:pPr>
      <w:r>
        <w:t>参考文献</w:t>
      </w:r>
    </w:p>
    <w:p>
      <w:pPr>
        <w:spacing w:before="0" w:after="40" w:line="276" w:lineRule="auto"/>
      </w:pPr>
      <w:r>
        <w:t>1. Leucht S, Tardy M, Komossa K, et al. Antipsychotic drugs versus placebo for relapse prevention in schizophrenia: a systematic review and meta-analysis. Lancet. 2012;379(9831):2063-2071.</w:t>
      </w:r>
    </w:p>
    <w:p>
      <w:pPr>
        <w:spacing w:before="0" w:after="40" w:line="276" w:lineRule="auto"/>
      </w:pPr>
      <w:r>
        <w:t>2. Lieberman JA, Stroup TS, McEvoy JP, et al. Effectiveness of antipsychotic drugs in patients with chronic schizophrenia. N Engl J Med. 2005;353(12):1209-1223.</w:t>
      </w:r>
    </w:p>
    <w:p>
      <w:pPr>
        <w:spacing w:before="0" w:after="40" w:line="276" w:lineRule="auto"/>
      </w:pPr>
      <w:r>
        <w:t>3. Kahn RS, Fleischhacker WW, Boter H, et al. Effectiveness of antipsychotic drugs in first-episode schizophrenia and schizophreniform disorder. Lancet. 2008;371(9618):1085-1097.</w:t>
      </w:r>
    </w:p>
    <w:p>
      <w:pPr>
        <w:spacing w:before="0" w:after="40" w:line="276" w:lineRule="auto"/>
      </w:pPr>
      <w:r>
        <w:t>4. Tiihonen J, Mittendorfer-Rutz E, Majak M, et al. Real-world effectiveness of antipsychotic treatments in a nationwide cohort of 29,823 patients with schizophrenia. JAMA Psychiatry. 2017;74(7):686-693.</w:t>
      </w:r>
    </w:p>
    <w:p>
      <w:pPr>
        <w:spacing w:before="0" w:after="40" w:line="276" w:lineRule="auto"/>
      </w:pPr>
      <w:r>
        <w:t>5. Weibull W. A statistical distribution function of wide applicability. J Appl Mech. 1951;18(3):293-297.</w:t>
      </w:r>
    </w:p>
    <w:p>
      <w:pPr>
        <w:spacing w:before="0" w:after="40" w:line="276" w:lineRule="auto"/>
      </w:pPr>
      <w:r>
        <w:t>6. Abernethy RB. The New Weibull Handbook. 5th ed. North Palm Beach, FL: Robert B. Abernethy; 2006.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