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臨床試験参加者脱落のワイブル信頼性解析：</w:t>
        <w:br/>
        <w:t>5治療領域RCTカテゴリにおけるハザードパターン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参加者の脱落は臨床試験の妥当性への主要な脅威であるが、治療領域間の脱落ハザードパターンは十分に特性化されていない。</w:t>
      </w:r>
    </w:p>
    <w:p>
      <w:pPr>
        <w:spacing w:before="0" w:after="120" w:line="276" w:lineRule="auto"/>
      </w:pPr>
      <w:r>
        <w:t>方法: McChrystal et al. (2025)を基盤とし、5治療領域のサブセットを解析：腫瘍(N=18,500)、循環器(N=24,000)、精神科(N=15,200)、糖尿病(N=12,800)、ワクチン(N=28,500)。合計N=99,000。</w:t>
      </w:r>
    </w:p>
    <w:p>
      <w:pPr>
        <w:spacing w:before="0" w:after="120" w:line="276" w:lineRule="auto"/>
      </w:pPr>
      <w:r>
        <w:t>結果: 全5領域でk &lt; 1（範囲: 0.679-0.742、平均0.708）。腫瘍が最高k(0.742)、循環器が最低(0.689)。</w:t>
      </w:r>
    </w:p>
    <w:p>
      <w:pPr>
        <w:spacing w:before="0" w:after="120" w:line="276" w:lineRule="auto"/>
      </w:pPr>
      <w:r>
        <w:t>結論: 臨床試験脱落は治療領域間で一貫したDFRパターンに従う。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臨床試験; 脱落; 減少; ランダム化比較試験; ハザード関数; 欠測データ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Clinical Trialにおける治療脱落の時間的ハザードパターンを、信頼性工学のワイブル分布を用いて特性化した。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全5データセットでk &lt; 1（範囲: 0.679-0.742、平均0.708）が得られ、DFRパターンが確認された（表1、図1）。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Clinical Trialデータセットのワイブルパラメータ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Oncology-RCT</w:t>
            </w:r>
          </w:p>
        </w:tc>
        <w:tc>
          <w:tcPr>
            <w:tcW w:type="dxa" w:w="1560"/>
          </w:tcPr>
          <w:p>
            <w:r>
              <w:t>18,500</w:t>
            </w:r>
          </w:p>
        </w:tc>
        <w:tc>
          <w:tcPr>
            <w:tcW w:type="dxa" w:w="1560"/>
          </w:tcPr>
          <w:p>
            <w:r>
              <w:t>0.742</w:t>
            </w:r>
          </w:p>
        </w:tc>
        <w:tc>
          <w:tcPr>
            <w:tcW w:type="dxa" w:w="1560"/>
          </w:tcPr>
          <w:p>
            <w:r>
              <w:t>0.701-0.796</w:t>
            </w:r>
          </w:p>
        </w:tc>
        <w:tc>
          <w:tcPr>
            <w:tcW w:type="dxa" w:w="1560"/>
          </w:tcPr>
          <w:p>
            <w:r>
              <w:t>39.92</w:t>
            </w:r>
          </w:p>
        </w:tc>
        <w:tc>
          <w:tcPr>
            <w:tcW w:type="dxa" w:w="1560"/>
          </w:tcPr>
          <w:p>
            <w:r>
              <w:t>0.9992</w:t>
            </w:r>
          </w:p>
        </w:tc>
      </w:tr>
      <w:tr>
        <w:tc>
          <w:tcPr>
            <w:tcW w:type="dxa" w:w="1560"/>
          </w:tcPr>
          <w:p>
            <w:r>
              <w:t>Cardiovascular-RCT</w:t>
            </w:r>
          </w:p>
        </w:tc>
        <w:tc>
          <w:tcPr>
            <w:tcW w:type="dxa" w:w="1560"/>
          </w:tcPr>
          <w:p>
            <w:r>
              <w:t>24,000</w:t>
            </w:r>
          </w:p>
        </w:tc>
        <w:tc>
          <w:tcPr>
            <w:tcW w:type="dxa" w:w="1560"/>
          </w:tcPr>
          <w:p>
            <w:r>
              <w:t>0.689</w:t>
            </w:r>
          </w:p>
        </w:tc>
        <w:tc>
          <w:tcPr>
            <w:tcW w:type="dxa" w:w="1560"/>
          </w:tcPr>
          <w:p>
            <w:r>
              <w:t>0.632-0.751</w:t>
            </w:r>
          </w:p>
        </w:tc>
        <w:tc>
          <w:tcPr>
            <w:tcW w:type="dxa" w:w="1560"/>
          </w:tcPr>
          <w:p>
            <w:r>
              <w:t>137.74</w:t>
            </w:r>
          </w:p>
        </w:tc>
        <w:tc>
          <w:tcPr>
            <w:tcW w:type="dxa" w:w="1560"/>
          </w:tcPr>
          <w:p>
            <w:r>
              <w:t>0.9997</w:t>
            </w:r>
          </w:p>
        </w:tc>
      </w:tr>
      <w:tr>
        <w:tc>
          <w:tcPr>
            <w:tcW w:type="dxa" w:w="1560"/>
          </w:tcPr>
          <w:p>
            <w:r>
              <w:t>Psychiatric-RCT</w:t>
            </w:r>
          </w:p>
        </w:tc>
        <w:tc>
          <w:tcPr>
            <w:tcW w:type="dxa" w:w="1560"/>
          </w:tcPr>
          <w:p>
            <w:r>
              <w:t>15,200</w:t>
            </w:r>
          </w:p>
        </w:tc>
        <w:tc>
          <w:tcPr>
            <w:tcW w:type="dxa" w:w="1560"/>
          </w:tcPr>
          <w:p>
            <w:r>
              <w:t>0.733</w:t>
            </w:r>
          </w:p>
        </w:tc>
        <w:tc>
          <w:tcPr>
            <w:tcW w:type="dxa" w:w="1560"/>
          </w:tcPr>
          <w:p>
            <w:r>
              <w:t>0.636-0.835</w:t>
            </w:r>
          </w:p>
        </w:tc>
        <w:tc>
          <w:tcPr>
            <w:tcW w:type="dxa" w:w="1560"/>
          </w:tcPr>
          <w:p>
            <w:r>
              <w:t>12.66</w:t>
            </w:r>
          </w:p>
        </w:tc>
        <w:tc>
          <w:tcPr>
            <w:tcW w:type="dxa" w:w="1560"/>
          </w:tcPr>
          <w:p>
            <w:r>
              <w:t>0.9917</w:t>
            </w:r>
          </w:p>
        </w:tc>
      </w:tr>
      <w:tr>
        <w:tc>
          <w:tcPr>
            <w:tcW w:type="dxa" w:w="1560"/>
          </w:tcPr>
          <w:p>
            <w:r>
              <w:t>Diabetes-RCT</w:t>
            </w:r>
          </w:p>
        </w:tc>
        <w:tc>
          <w:tcPr>
            <w:tcW w:type="dxa" w:w="1560"/>
          </w:tcPr>
          <w:p>
            <w:r>
              <w:t>12,800</w:t>
            </w:r>
          </w:p>
        </w:tc>
        <w:tc>
          <w:tcPr>
            <w:tcW w:type="dxa" w:w="1560"/>
          </w:tcPr>
          <w:p>
            <w:r>
              <w:t>0.696</w:t>
            </w:r>
          </w:p>
        </w:tc>
        <w:tc>
          <w:tcPr>
            <w:tcW w:type="dxa" w:w="1560"/>
          </w:tcPr>
          <w:p>
            <w:r>
              <w:t>0.638-0.790</w:t>
            </w:r>
          </w:p>
        </w:tc>
        <w:tc>
          <w:tcPr>
            <w:tcW w:type="dxa" w:w="1560"/>
          </w:tcPr>
          <w:p>
            <w:r>
              <w:t>91.42</w:t>
            </w:r>
          </w:p>
        </w:tc>
        <w:tc>
          <w:tcPr>
            <w:tcW w:type="dxa" w:w="1560"/>
          </w:tcPr>
          <w:p>
            <w:r>
              <w:t>0.9983</w:t>
            </w:r>
          </w:p>
        </w:tc>
      </w:tr>
      <w:tr>
        <w:tc>
          <w:tcPr>
            <w:tcW w:type="dxa" w:w="1560"/>
          </w:tcPr>
          <w:p>
            <w:r>
              <w:t>Vaccine-RCT</w:t>
            </w:r>
          </w:p>
        </w:tc>
        <w:tc>
          <w:tcPr>
            <w:tcW w:type="dxa" w:w="1560"/>
          </w:tcPr>
          <w:p>
            <w:r>
              <w:t>28,500</w:t>
            </w:r>
          </w:p>
        </w:tc>
        <w:tc>
          <w:tcPr>
            <w:tcW w:type="dxa" w:w="1560"/>
          </w:tcPr>
          <w:p>
            <w:r>
              <w:t>0.679</w:t>
            </w:r>
          </w:p>
        </w:tc>
        <w:tc>
          <w:tcPr>
            <w:tcW w:type="dxa" w:w="1560"/>
          </w:tcPr>
          <w:p>
            <w:r>
              <w:t>0.509-0.929</w:t>
            </w:r>
          </w:p>
        </w:tc>
        <w:tc>
          <w:tcPr>
            <w:tcW w:type="dxa" w:w="1560"/>
          </w:tcPr>
          <w:p>
            <w:r>
              <w:t>75.81</w:t>
            </w:r>
          </w:p>
        </w:tc>
        <w:tc>
          <w:tcPr>
            <w:tcW w:type="dxa" w:w="1560"/>
          </w:tcPr>
          <w:p>
            <w:r>
              <w:t>0.9957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5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linical_trial_participant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Clinical Trialの維持曲線とワイブル適合（左）およびハザード関数（右）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linical_trial_participant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Clinical Trialのワイブル確率プロット（適合度評価）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Clinical Trial治療脱落はDFRパターン（平均k=0.708）に従う。信頼性工学フレームワークはフェーズ特異的維持戦略設計の定量的基盤を提供する。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McChrystal R, Cro S, Carpenter JR. Best-fitting distributions for dropout in randomised clinical trials. BMC Med Res Methodol. 2025;25:42.</w:t>
      </w:r>
    </w:p>
    <w:p>
      <w:pPr>
        <w:spacing w:before="0" w:after="40" w:line="276" w:lineRule="auto"/>
      </w:pPr>
      <w:r>
        <w:t>2. Hewitt CE, Kumaravel B, Dumville JC, Torgerson DJ. Assessing the impact of attrition in randomized controlled trials. J Clin Epidemiol. 2010;63(11):1264-1270.</w:t>
      </w:r>
    </w:p>
    <w:p>
      <w:pPr>
        <w:spacing w:before="0" w:after="40" w:line="276" w:lineRule="auto"/>
      </w:pPr>
      <w:r>
        <w:t>3. Bell ML, Kenward MG, Fairclough DL, Horton NJ. Differential dropout and bias in randomised controlled trials: when it matters and when it may not. BMJ. 2013;346:e8668.</w:t>
      </w:r>
    </w:p>
    <w:p>
      <w:pPr>
        <w:spacing w:before="0" w:after="40" w:line="276" w:lineRule="auto"/>
      </w:pPr>
      <w:r>
        <w:t>4. Dumville JC, Torgerson DJ, Hewitt CE. Reporting attrition in randomised controlled trials. BMJ. 2006;332(7547):969-971.</w:t>
      </w:r>
    </w:p>
    <w:p>
      <w:pPr>
        <w:spacing w:before="0" w:after="40" w:line="276" w:lineRule="auto"/>
      </w:pPr>
      <w:r>
        <w:t>5. Polack FP, Thomas SJ, Kitchin N, et al. Safety and efficacy of the BNT162b2 mRNA Covid-19 vaccine. N Engl J Med. 2020;383(27):2603-2615.</w:t>
      </w:r>
    </w:p>
    <w:p>
      <w:pPr>
        <w:spacing w:before="0" w:after="40" w:line="276" w:lineRule="auto"/>
      </w:pPr>
      <w:r>
        <w:t>6. Baden LR, El Sahly HM, Essink B, et al. Efficacy and safety of the mRNA-1273 SARS-CoV-2 vaccine. N Engl J Med. 2021;384(5):403-416.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