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does not capture sub-unit variation such as urban heat islands, and omits humidity, wet-bulb globe temperature and other heat-stress metrics. Third, activity adjustment used national monthly proxies (vehicle-miles travelled and gasoline supplied) and is not daily, state-level or mode-specific; daily state-level or mode-specific activity could alter the road-user and time-of-day gradients.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