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</w:pPr>
      <w:r>
        <w:rPr>
          <w:rFonts w:ascii="Times New Roman" w:hAnsi="Times New Roman" w:eastAsia="MS Mincho"/>
          <w:b/>
          <w:i w:val="0"/>
          <w:sz w:val="28"/>
        </w:rPr>
        <w:t>Table 4. Extended OOS metrics: direction accuracy and CWON trajectory RMSE.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Dir. acc. median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Dir. acc. mean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 RMSE median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 RMSE mean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