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age band and crash circumstances (manner of collision, weather condition, rural/urban land use and police-reported driver drinking) from FARS records, as mechanistic and vulnerability analyses;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Crash-level strata provided four further checks on the mechanism and on robustness (Fig. 9; Table 6). The same-day excess was larger for single-vehicle crashes—those whose first harmful event was not a collision with another motor vehicle in transport, including run-off-road and pedestrian-involved crashes—than for multi-vehicle collisions (RR 1.199 (1.161-1.238) vs 1.113 (1.066-1.162)), the pattern expected if heat degrades driver performance independently of interaction with other vehicles. The excess persisted on clear or cloudy days (RR 1.185 (1.148-1.224)) and was similar in adverse weather (RR 1.119 (1.054-1.188)), so it is not explained by precipitation or wet-road surface conditions. Estimates were similar for rural (RR 1.139 (1.096-1.184)) and urban (RR 1.190 (1.150-1.232)) crashes. Finally, the excess was present and of similar magnitude whether or not a driver was reported to have been drinking (RR 1.178 (1.133-1.224) and 1.191 (1.119-1.269) respectively), indicating that the association is not driven by alcohol-involved crashes; police-reported drinking is, however, under-ascertained in FARS.</w:t>
      </w:r>
    </w:p>
    <w:p/>
    <w:p>
      <w:pPr>
        <w:jc w:val="center"/>
      </w:pPr>
      <w:r>
        <w:drawing>
          <wp:inline xmlns:a="http://schemas.openxmlformats.org/drawingml/2006/main" xmlns:pic="http://schemas.openxmlformats.org/drawingml/2006/picture">
            <wp:extent cx="5120640" cy="3175959"/>
            <wp:docPr id="9" name="Picture 9"/>
            <wp:cNvGraphicFramePr>
              <a:graphicFrameLocks noChangeAspect="1"/>
            </wp:cNvGraphicFramePr>
            <a:graphic>
              <a:graphicData uri="http://schemas.openxmlformats.org/drawingml/2006/picture">
                <pic:pic>
                  <pic:nvPicPr>
                    <pic:cNvPr id="0" name="fig_us_crashcontext.png"/>
                    <pic:cNvPicPr/>
                  </pic:nvPicPr>
                  <pic:blipFill>
                    <a:blip r:embed="rId17"/>
                    <a:stretch>
                      <a:fillRect/>
                    </a:stretch>
                  </pic:blipFill>
                  <pic:spPr>
                    <a:xfrm>
                      <a:off x="0" y="0"/>
                      <a:ext cx="5120640" cy="3175959"/>
                    </a:xfrm>
                    <a:prstGeom prst="rect"/>
                  </pic:spPr>
                </pic:pic>
              </a:graphicData>
            </a:graphic>
          </wp:inline>
        </w:drawing>
      </w:r>
    </w:p>
    <w:p>
      <w:pPr>
        <w:spacing w:before="280"/>
      </w:pPr>
      <w:r>
        <w:rPr>
          <w:b/>
        </w:rPr>
        <w:t xml:space="preserve">Figure 9. </w:t>
      </w:r>
      <w:r>
        <w:t>United States same-day rate ratio of crash death for a +9 °C anomaly by crash circumstances: manner of collision, weather condition, rural/urban land use and police-reported driver drinking. The excess is present for clear or cloudy days, is larger for single-vehicle (not a collision with a motor vehicle in transport) than multi-vehicle crashes, and is similar regardless of reported driver drinking—patterns consistent with a direct heat contribution rather than adverse-weather surface conditions or a purely behavioural pathway. These subgroup analyses are exploratory and are not adjusted for multiple comparisons.</w:t>
      </w:r>
    </w:p>
    <w:p/>
    <w:p>
      <w:pPr>
        <w:spacing w:before="280"/>
      </w:pPr>
      <w:r>
        <w:rPr>
          <w:b/>
        </w:rPr>
        <w:t xml:space="preserve">Table 6. </w:t>
      </w:r>
      <w:r>
        <w:t>United States same-day rate ratio of crash death for a +9 °C anomaly, by crash circumstances (crash-level strata). Single-vehicle crashes are those whose first harmful event was not a collision with a motor vehicle in transport (includes run-off-road and pedestrian crashes); driver drinking is police-reported for any involved driver; crashes with unreported or unknown drinking status are excluded. Subgroup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Manner of collision: Single-vehicle (not a MVIT collision)</w:t>
            </w:r>
          </w:p>
        </w:tc>
        <w:tc>
          <w:tcPr>
            <w:tcW w:type="dxa" w:w="2880"/>
          </w:tcPr>
          <w:p>
            <w:r>
              <w:t>160,517</w:t>
            </w:r>
          </w:p>
        </w:tc>
        <w:tc>
          <w:tcPr>
            <w:tcW w:type="dxa" w:w="2880"/>
          </w:tcPr>
          <w:p>
            <w:r>
              <w:t>1.199 (1.161-1.238)</w:t>
            </w:r>
          </w:p>
        </w:tc>
      </w:tr>
      <w:tr>
        <w:tc>
          <w:tcPr>
            <w:tcW w:type="dxa" w:w="2880"/>
          </w:tcPr>
          <w:p>
            <w:r>
              <w:t>Manner of collision: Multi-vehicle collision</w:t>
            </w:r>
          </w:p>
        </w:tc>
        <w:tc>
          <w:tcPr>
            <w:tcW w:type="dxa" w:w="2880"/>
          </w:tcPr>
          <w:p>
            <w:r>
              <w:t>111,415</w:t>
            </w:r>
          </w:p>
        </w:tc>
        <w:tc>
          <w:tcPr>
            <w:tcW w:type="dxa" w:w="2880"/>
          </w:tcPr>
          <w:p>
            <w:r>
              <w:t>1.113 (1.066-1.162)</w:t>
            </w:r>
          </w:p>
        </w:tc>
      </w:tr>
      <w:tr>
        <w:tc>
          <w:tcPr>
            <w:tcW w:type="dxa" w:w="2880"/>
          </w:tcPr>
          <w:p>
            <w:r>
              <w:t>Weather condition: Clear or cloudy</w:t>
            </w:r>
          </w:p>
        </w:tc>
        <w:tc>
          <w:tcPr>
            <w:tcW w:type="dxa" w:w="2880"/>
          </w:tcPr>
          <w:p>
            <w:r>
              <w:t>212,319</w:t>
            </w:r>
          </w:p>
        </w:tc>
        <w:tc>
          <w:tcPr>
            <w:tcW w:type="dxa" w:w="2880"/>
          </w:tcPr>
          <w:p>
            <w:r>
              <w:t>1.185 (1.148-1.224)</w:t>
            </w:r>
          </w:p>
        </w:tc>
      </w:tr>
      <w:tr>
        <w:tc>
          <w:tcPr>
            <w:tcW w:type="dxa" w:w="2880"/>
          </w:tcPr>
          <w:p>
            <w:r>
              <w:t>Weather condition: Adverse (rain, snow, fog, wind)</w:t>
            </w:r>
          </w:p>
        </w:tc>
        <w:tc>
          <w:tcPr>
            <w:tcW w:type="dxa" w:w="2880"/>
          </w:tcPr>
          <w:p>
            <w:r>
              <w:t>44,401</w:t>
            </w:r>
          </w:p>
        </w:tc>
        <w:tc>
          <w:tcPr>
            <w:tcW w:type="dxa" w:w="2880"/>
          </w:tcPr>
          <w:p>
            <w:r>
              <w:t>1.119 (1.054-1.188)</w:t>
            </w:r>
          </w:p>
        </w:tc>
      </w:tr>
      <w:tr>
        <w:tc>
          <w:tcPr>
            <w:tcW w:type="dxa" w:w="2880"/>
          </w:tcPr>
          <w:p>
            <w:r>
              <w:t>Land use: Rural</w:t>
            </w:r>
          </w:p>
        </w:tc>
        <w:tc>
          <w:tcPr>
            <w:tcW w:type="dxa" w:w="2880"/>
          </w:tcPr>
          <w:p>
            <w:r>
              <w:t>119,138</w:t>
            </w:r>
          </w:p>
        </w:tc>
        <w:tc>
          <w:tcPr>
            <w:tcW w:type="dxa" w:w="2880"/>
          </w:tcPr>
          <w:p>
            <w:r>
              <w:t>1.139 (1.096-1.184)</w:t>
            </w:r>
          </w:p>
        </w:tc>
      </w:tr>
      <w:tr>
        <w:tc>
          <w:tcPr>
            <w:tcW w:type="dxa" w:w="2880"/>
          </w:tcPr>
          <w:p>
            <w:r>
              <w:t>Land use: Urban</w:t>
            </w:r>
          </w:p>
        </w:tc>
        <w:tc>
          <w:tcPr>
            <w:tcW w:type="dxa" w:w="2880"/>
          </w:tcPr>
          <w:p>
            <w:r>
              <w:t>153,418</w:t>
            </w:r>
          </w:p>
        </w:tc>
        <w:tc>
          <w:tcPr>
            <w:tcW w:type="dxa" w:w="2880"/>
          </w:tcPr>
          <w:p>
            <w:r>
              <w:t>1.190 (1.150-1.232)</w:t>
            </w:r>
          </w:p>
        </w:tc>
      </w:tr>
      <w:tr>
        <w:tc>
          <w:tcPr>
            <w:tcW w:type="dxa" w:w="2880"/>
          </w:tcPr>
          <w:p>
            <w:r>
              <w:t>Driver drinking: No drinking driver</w:t>
            </w:r>
          </w:p>
        </w:tc>
        <w:tc>
          <w:tcPr>
            <w:tcW w:type="dxa" w:w="2880"/>
          </w:tcPr>
          <w:p>
            <w:r>
              <w:t>121,958</w:t>
            </w:r>
          </w:p>
        </w:tc>
        <w:tc>
          <w:tcPr>
            <w:tcW w:type="dxa" w:w="2880"/>
          </w:tcPr>
          <w:p>
            <w:r>
              <w:t>1.178 (1.133-1.224)</w:t>
            </w:r>
          </w:p>
        </w:tc>
      </w:tr>
      <w:tr>
        <w:tc>
          <w:tcPr>
            <w:tcW w:type="dxa" w:w="2880"/>
          </w:tcPr>
          <w:p>
            <w:r>
              <w:t>Driver drinking: Drinking driver involved</w:t>
            </w:r>
          </w:p>
        </w:tc>
        <w:tc>
          <w:tcPr>
            <w:tcW w:type="dxa" w:w="2880"/>
          </w:tcPr>
          <w:p>
            <w:r>
              <w:t>47,963</w:t>
            </w:r>
          </w:p>
        </w:tc>
        <w:tc>
          <w:tcPr>
            <w:tcW w:type="dxa" w:w="2880"/>
          </w:tcPr>
          <w:p>
            <w:r>
              <w:t>1.191 (1.119-1.269)</w:t>
            </w:r>
          </w:p>
        </w:tc>
      </w:tr>
    </w:tbl>
    <w:p/>
    <w:p>
      <w:pPr>
        <w:spacing w:after="120" w:line="480" w:lineRule="auto"/>
      </w:pPr>
      <w:r>
        <w:t>Sensitivity to activity, precipitation and heat-stress controls is summarized in Table 7.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7.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10); the same-day point estimate for a +9 °C anomaly was 0.940 (95% CI 0.743-1.190) and was not stable across specifications. A direct comparison of the two countries (Fig. 11)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10" name="Picture 10"/>
            <wp:cNvGraphicFramePr>
              <a:graphicFrameLocks noChangeAspect="1"/>
            </wp:cNvGraphicFramePr>
            <a:graphic>
              <a:graphicData uri="http://schemas.openxmlformats.org/drawingml/2006/picture">
                <pic:pic>
                  <pic:nvPicPr>
                    <pic:cNvPr id="0" name="jp_fig2_anomaly_exposure_response.png"/>
                    <pic:cNvPicPr/>
                  </pic:nvPicPr>
                  <pic:blipFill>
                    <a:blip r:embed="rId18"/>
                    <a:stretch>
                      <a:fillRect/>
                    </a:stretch>
                  </pic:blipFill>
                  <pic:spPr>
                    <a:xfrm>
                      <a:off x="0" y="0"/>
                      <a:ext cx="5120640" cy="3660652"/>
                    </a:xfrm>
                    <a:prstGeom prst="rect"/>
                  </pic:spPr>
                </pic:pic>
              </a:graphicData>
            </a:graphic>
          </wp:inline>
        </w:drawing>
      </w:r>
    </w:p>
    <w:p>
      <w:pPr>
        <w:spacing w:before="280"/>
      </w:pPr>
      <w:r>
        <w:rPr>
          <w:b/>
        </w:rPr>
        <w:t xml:space="preserve">Figure 10.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1" name="Picture 11"/>
            <wp:cNvGraphicFramePr>
              <a:graphicFrameLocks noChangeAspect="1"/>
            </wp:cNvGraphicFramePr>
            <a:graphic>
              <a:graphicData uri="http://schemas.openxmlformats.org/drawingml/2006/picture">
                <pic:pic>
                  <pic:nvPicPr>
                    <pic:cNvPr id="0" name="cross_fig_us_vs_japan_sameday.png"/>
                    <pic:cNvPicPr/>
                  </pic:nvPicPr>
                  <pic:blipFill>
                    <a:blip r:embed="rId19"/>
                    <a:stretch>
                      <a:fillRect/>
                    </a:stretch>
                  </pic:blipFill>
                  <pic:spPr>
                    <a:xfrm>
                      <a:off x="0" y="0"/>
                      <a:ext cx="5120640" cy="3761953"/>
                    </a:xfrm>
                    <a:prstGeom prst="rect"/>
                  </pic:spPr>
                </pic:pic>
              </a:graphicData>
            </a:graphic>
          </wp:inline>
        </w:drawing>
      </w:r>
    </w:p>
    <w:p>
      <w:pPr>
        <w:spacing w:before="280"/>
      </w:pPr>
      <w:r>
        <w:rPr>
          <w:b/>
        </w:rPr>
        <w:t xml:space="preserve">Figure 11.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 crash-circumstance strata point the same way: the excess was larger for single-vehicle crashes than for multi-vehicle collisions, persisted on clear days, and was similar whether or not a driver was reported to have been drinking.These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their batteries, motors and tyres are heat-stressed and may become prone to sudden power loss or brake failure in hot weather,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police-reported drinking is incompletely ascertained in FARS, so similar estimates with and without a reported drinking driver do not fully exclude an alcohol-related contribution. Eighth,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Ninth,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vertAlign w:val="superscript"/>
        </w:rPr>
        <w:t>17</w:t>
      </w:r>
      <w:r>
        <w:t xml:space="preserve">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US Census Bureau. Population Estimates Program. Annual state population estimates. https://www.census.gov/programs-surveys/popest.html</w:t>
      </w:r>
    </w:p>
    <w:p>
      <w:pPr>
        <w:spacing w:after="80"/>
      </w:pPr>
      <w:r>
        <w:t>13. Federal Highway Administration. Highway Statistics VM-2: Annual state vehicle-miles travelled. https://www.fhwa.dot.gov/policyinformation/statistics.cfm</w:t>
      </w:r>
    </w:p>
    <w:p>
      <w:pPr>
        <w:spacing w:after="80"/>
      </w:pPr>
      <w:r>
        <w:t>14. Centers for Disease Control and Prevention. CDC WONDER Underlying Cause of Death database. https://wonder.cdc.gov/</w:t>
      </w:r>
    </w:p>
    <w:p>
      <w:pPr>
        <w:spacing w:after="80"/>
      </w:pPr>
      <w:r>
        <w:t>15. Daanen HAM, van de Vliert E, Huang X. Driving performance in cold, warm, and thermoneutral environments. Appl Ergon 2003;34:597-602.</w:t>
      </w:r>
    </w:p>
    <w:p>
      <w:pPr>
        <w:spacing w:after="80"/>
      </w:pPr>
      <w:r>
        <w:t>16. IPCC. Climate Change 2021: The Physical Science Basis. Contribution of Working Group I to the Sixth Assessment Report of the Intergovernmental Panel on Climate Change. Cambridge: Cambridge University Press; 2021.</w:t>
      </w:r>
    </w:p>
    <w:p>
      <w:pPr>
        <w:spacing w:after="80"/>
      </w:pPr>
      <w:r>
        <w:t>17. European Commission, Directorate-General for Mobility and Transport. Community database on road accidents (CARE). https://road-safety.transport.ec.europa.eu/european-road-safety-observatory/methodology-and-research/care-database_en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