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pStyle w:val="Heading1"/>
      </w:pPr>
      <w:r>
        <w:t>Abstract</w:t>
      </w:r>
    </w:p>
    <w:p>
      <w:pPr>
        <w:spacing w:after="120" w:line="480" w:lineRule="auto"/>
      </w:pPr>
      <w:r/>
      <w:r>
        <w:rPr>
          <w:b/>
        </w:rPr>
        <w:t xml:space="preserve">Introduction.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line="480" w:lineRule="auto" w:after="120"/>
      </w:pPr>
      <w:r>
        <w:rPr>
          <w:b/>
        </w:rPr>
        <w:t xml:space="preserve">Method.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line="480" w:lineRule="auto" w:after="120"/>
      </w:pPr>
      <w:r>
        <w:rPr>
          <w:b/>
        </w:rPr>
        <w:t xml:space="preserve">Conclusions.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Practical Applications. </w:t>
      </w:r>
      <w:r>
        <w:t>Heat warnings and travel advice during unusually hot periods could be targeted at motorcyclists, cyclists, pedestrians and outdoor delivery riders, and crash-prevention messaging could incorporate temperature forecasts. Road-safety agencies and heat-health plans should treat hot days as a crash-risk condition.</w:t>
      </w:r>
    </w:p>
    <w:p>
      <w:pPr>
        <w:spacing w:after="120" w:line="480" w:lineRule="auto"/>
      </w:pPr>
      <w:r/>
      <w:r>
        <w:rPr>
          <w:b/>
        </w:rPr>
        <w:t xml:space="preserve">Keywords: </w:t>
      </w:r>
      <w:r>
        <w:t>heat; traffic crash; mortality; climate change; road safety; distributed-lag model</w:t>
      </w:r>
    </w:p>
    <w:p>
      <w:pPr>
        <w:pStyle w:val="Heading1"/>
      </w:pPr>
      <w:r>
        <w:t>1. 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t xml:space="preserve"> (Basu, 2009; Gasparrini et al., 2015).</w:t>
      </w:r>
      <w:r>
        <w:t xml:space="preserve"> Recent syntheses also link higher ambient temperature to increased road traffic accidents and injuries</w:t>
      </w:r>
      <w:r>
        <w:rPr/>
        <w:t xml:space="preserve"> (Liang et al., 2021, 2022).</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2. Materials and methods</w:t>
      </w:r>
    </w:p>
    <w:p>
      <w:pPr>
        <w:spacing w:after="40" w:line="480" w:lineRule="auto"/>
      </w:pPr>
      <w:r>
        <w:t>We built daily panels of traffic-crash deaths by US state (Fatality Analysis Reporting System [FARS], 2016-2022)</w:t>
      </w:r>
      <w:r>
        <w:rPr/>
        <w:t xml:space="preserve"> (National Highway Traffic Safety Administration, n.d.)</w:t>
      </w:r>
      <w:r>
        <w:t xml:space="preserve"> and by Japanese prefecture (National Police Agency [NPA] accident open data, 2019-2024)</w:t>
      </w:r>
      <w:r>
        <w:rPr/>
        <w:t xml:space="preserve"> (National Police Agency of Japan, n.d.).</w:t>
      </w:r>
      <w:r>
        <w:t xml:space="preserve"> Daily mean temperature was taken from the Global Historical Climatology Network-Daily (GHCN-Daily) stations</w:t>
      </w:r>
      <w:r>
        <w:rPr/>
        <w:t xml:space="preserve"> (Menne et al., 2012)</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t xml:space="preserve"> (Gasparrini et al., 2010)</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t xml:space="preserve"> (2014)</w:t>
      </w:r>
      <w:r>
        <w:t xml:space="preserve"> with Monte Carlo (MC) confidence intervals (CIs). As sensitivity analyses for the US we added (i) national vehicle-miles travelled (VMT)</w:t>
      </w:r>
      <w:r>
        <w:rPr/>
        <w:t xml:space="preserve"> (Federal Highway Administration, n.d.-a)</w:t>
      </w:r>
      <w:r>
        <w:t xml:space="preserve"> and finished-motor-gasoline product supplied</w:t>
      </w:r>
      <w:r>
        <w:rPr/>
        <w:t xml:space="preserve"> (US Energy Information Administration, n.d.)</w:t>
      </w:r>
      <w:r>
        <w:t xml:space="preserve"> as activity proxies, and (ii) a richer control set with state annual population entered as a log offset</w:t>
      </w:r>
      <w:r>
        <w:rPr/>
        <w:t xml:space="preserve"> (US Census Bureau, n.d.)</w:t>
      </w:r>
      <w:r>
        <w:t>, state annual VMT</w:t>
      </w:r>
      <w:r>
        <w:rPr/>
        <w:t xml:space="preserve"> (Federal Highway Administration, n.d.-b)</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t xml:space="preserve"> (Centers for Disease Control and Prevention, n.d.).</w:t>
      </w:r>
      <w:r>
        <w:t xml:space="preserve"> We performed three further US analyses: (i) refitting the same-day model within crash-hour bands to test whether the excess concentrates in the hottest hours; (ii) refitting it by road-user type (vehicle occupant, motorcyclist, pedestrian, cyclist), age band and crash circumstances (manner of collision, weather condition, rural/urban land use and police-reported driver drinking) from FARS records, as mechanistic and vulnerability analyses;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3. 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t xml:space="preserve"> (Daanen et al., 2003).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t xml:space="preserve"> (IPCC, 2021).</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Crash-level strata provided four further checks on the mechanism and on robustness (Fig. 9; Table 6). The same-day excess was larger for single-vehicle crashes—those whose first harmful event was not a collision with another motor vehicle in transport, including run-off-road and pedestrian-involved crashes—than for multi-vehicle collisions (RR 1.199 (1.161-1.238) vs 1.113 (1.066-1.162)), the pattern expected if heat degrades driver performance independently of interaction with other vehicles. The excess persisted on clear or cloudy days (RR 1.185 (1.148-1.224)) and was similar in adverse weather (RR 1.119 (1.054-1.188)), so it is not explained by precipitation or wet-road surface conditions. Estimates were similar for rural (RR 1.139 (1.096-1.184)) and urban (RR 1.190 (1.150-1.232)) crashes. Finally, the excess was present and of similar magnitude whether or not a driver was reported to have been drinking (RR 1.178 (1.133-1.224) and 1.191 (1.119-1.269) respectively), indicating that the association is not driven by alcohol-involved crashes; police-reported drinking is, however, under-ascertained in FARS.</w:t>
      </w:r>
    </w:p>
    <w:p/>
    <w:p>
      <w:pPr>
        <w:jc w:val="center"/>
      </w:pPr>
      <w:r>
        <w:drawing>
          <wp:inline xmlns:a="http://schemas.openxmlformats.org/drawingml/2006/main" xmlns:pic="http://schemas.openxmlformats.org/drawingml/2006/picture">
            <wp:extent cx="5120640" cy="3175959"/>
            <wp:docPr id="9" name="Picture 9"/>
            <wp:cNvGraphicFramePr>
              <a:graphicFrameLocks noChangeAspect="1"/>
            </wp:cNvGraphicFramePr>
            <a:graphic>
              <a:graphicData uri="http://schemas.openxmlformats.org/drawingml/2006/picture">
                <pic:pic>
                  <pic:nvPicPr>
                    <pic:cNvPr id="0" name="fig_us_crashcontext.png"/>
                    <pic:cNvPicPr/>
                  </pic:nvPicPr>
                  <pic:blipFill>
                    <a:blip r:embed="rId17"/>
                    <a:stretch>
                      <a:fillRect/>
                    </a:stretch>
                  </pic:blipFill>
                  <pic:spPr>
                    <a:xfrm>
                      <a:off x="0" y="0"/>
                      <a:ext cx="5120640" cy="3175959"/>
                    </a:xfrm>
                    <a:prstGeom prst="rect"/>
                  </pic:spPr>
                </pic:pic>
              </a:graphicData>
            </a:graphic>
          </wp:inline>
        </w:drawing>
      </w:r>
    </w:p>
    <w:p>
      <w:pPr>
        <w:spacing w:before="280"/>
      </w:pPr>
      <w:r>
        <w:rPr>
          <w:b/>
        </w:rPr>
        <w:t xml:space="preserve">Figure 9. </w:t>
      </w:r>
      <w:r>
        <w:t>United States same-day rate ratio of crash death for a +9 °C anomaly by crash circumstances: manner of collision, weather condition, rural/urban land use and police-reported driver drinking. The excess is present for clear or cloudy days, is larger for single-vehicle (not a collision with a motor vehicle in transport) than multi-vehicle crashes, and is similar regardless of reported driver drinking—patterns consistent with a direct heat contribution rather than adverse-weather surface conditions or a purely behavioural pathway. These subgroup analyses are exploratory and are not adjusted for multiple comparisons.</w:t>
      </w:r>
    </w:p>
    <w:p/>
    <w:p>
      <w:pPr>
        <w:spacing w:before="280"/>
      </w:pPr>
      <w:r>
        <w:rPr>
          <w:b/>
        </w:rPr>
        <w:t xml:space="preserve">Table 6. </w:t>
      </w:r>
      <w:r>
        <w:t>United States same-day rate ratio of crash death for a +9 °C anomaly, by crash circumstances (crash-level strata). Single-vehicle crashes are those whose first harmful event was not a collision with a motor vehicle in transport (includes run-off-road and pedestrian crashes); driver drinking is police-reported for any involved driver; crashes with unreported or unknown drinking status are excluded. Subgroup analyses are exploratory and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Stratum</w:t>
            </w:r>
          </w:p>
        </w:tc>
        <w:tc>
          <w:tcPr>
            <w:tcW w:type="dxa" w:w="2880"/>
          </w:tcPr>
          <w:p>
            <w:r>
              <w:rPr>
                <w:b/>
              </w:rPr>
              <w:t>Crash deaths</w:t>
            </w:r>
          </w:p>
        </w:tc>
        <w:tc>
          <w:tcPr>
            <w:tcW w:type="dxa" w:w="2880"/>
          </w:tcPr>
          <w:p>
            <w:r>
              <w:rPr>
                <w:b/>
              </w:rPr>
              <w:t>Same-day RR (95% CI)</w:t>
            </w:r>
          </w:p>
        </w:tc>
      </w:tr>
      <w:tr>
        <w:tc>
          <w:tcPr>
            <w:tcW w:type="dxa" w:w="2880"/>
          </w:tcPr>
          <w:p>
            <w:r>
              <w:t>Manner of collision: Single-vehicle (not a MVIT collision)</w:t>
            </w:r>
          </w:p>
        </w:tc>
        <w:tc>
          <w:tcPr>
            <w:tcW w:type="dxa" w:w="2880"/>
          </w:tcPr>
          <w:p>
            <w:r>
              <w:t>160,517</w:t>
            </w:r>
          </w:p>
        </w:tc>
        <w:tc>
          <w:tcPr>
            <w:tcW w:type="dxa" w:w="2880"/>
          </w:tcPr>
          <w:p>
            <w:r>
              <w:t>1.199 (1.161-1.238)</w:t>
            </w:r>
          </w:p>
        </w:tc>
      </w:tr>
      <w:tr>
        <w:tc>
          <w:tcPr>
            <w:tcW w:type="dxa" w:w="2880"/>
          </w:tcPr>
          <w:p>
            <w:r>
              <w:t>Manner of collision: Multi-vehicle collision</w:t>
            </w:r>
          </w:p>
        </w:tc>
        <w:tc>
          <w:tcPr>
            <w:tcW w:type="dxa" w:w="2880"/>
          </w:tcPr>
          <w:p>
            <w:r>
              <w:t>111,415</w:t>
            </w:r>
          </w:p>
        </w:tc>
        <w:tc>
          <w:tcPr>
            <w:tcW w:type="dxa" w:w="2880"/>
          </w:tcPr>
          <w:p>
            <w:r>
              <w:t>1.113 (1.066-1.162)</w:t>
            </w:r>
          </w:p>
        </w:tc>
      </w:tr>
      <w:tr>
        <w:tc>
          <w:tcPr>
            <w:tcW w:type="dxa" w:w="2880"/>
          </w:tcPr>
          <w:p>
            <w:r>
              <w:t>Weather condition: Clear or cloudy</w:t>
            </w:r>
          </w:p>
        </w:tc>
        <w:tc>
          <w:tcPr>
            <w:tcW w:type="dxa" w:w="2880"/>
          </w:tcPr>
          <w:p>
            <w:r>
              <w:t>212,319</w:t>
            </w:r>
          </w:p>
        </w:tc>
        <w:tc>
          <w:tcPr>
            <w:tcW w:type="dxa" w:w="2880"/>
          </w:tcPr>
          <w:p>
            <w:r>
              <w:t>1.185 (1.148-1.224)</w:t>
            </w:r>
          </w:p>
        </w:tc>
      </w:tr>
      <w:tr>
        <w:tc>
          <w:tcPr>
            <w:tcW w:type="dxa" w:w="2880"/>
          </w:tcPr>
          <w:p>
            <w:r>
              <w:t>Weather condition: Adverse (rain, snow, fog, wind)</w:t>
            </w:r>
          </w:p>
        </w:tc>
        <w:tc>
          <w:tcPr>
            <w:tcW w:type="dxa" w:w="2880"/>
          </w:tcPr>
          <w:p>
            <w:r>
              <w:t>44,401</w:t>
            </w:r>
          </w:p>
        </w:tc>
        <w:tc>
          <w:tcPr>
            <w:tcW w:type="dxa" w:w="2880"/>
          </w:tcPr>
          <w:p>
            <w:r>
              <w:t>1.119 (1.054-1.188)</w:t>
            </w:r>
          </w:p>
        </w:tc>
      </w:tr>
      <w:tr>
        <w:tc>
          <w:tcPr>
            <w:tcW w:type="dxa" w:w="2880"/>
          </w:tcPr>
          <w:p>
            <w:r>
              <w:t>Land use: Rural</w:t>
            </w:r>
          </w:p>
        </w:tc>
        <w:tc>
          <w:tcPr>
            <w:tcW w:type="dxa" w:w="2880"/>
          </w:tcPr>
          <w:p>
            <w:r>
              <w:t>119,138</w:t>
            </w:r>
          </w:p>
        </w:tc>
        <w:tc>
          <w:tcPr>
            <w:tcW w:type="dxa" w:w="2880"/>
          </w:tcPr>
          <w:p>
            <w:r>
              <w:t>1.139 (1.096-1.184)</w:t>
            </w:r>
          </w:p>
        </w:tc>
      </w:tr>
      <w:tr>
        <w:tc>
          <w:tcPr>
            <w:tcW w:type="dxa" w:w="2880"/>
          </w:tcPr>
          <w:p>
            <w:r>
              <w:t>Land use: Urban</w:t>
            </w:r>
          </w:p>
        </w:tc>
        <w:tc>
          <w:tcPr>
            <w:tcW w:type="dxa" w:w="2880"/>
          </w:tcPr>
          <w:p>
            <w:r>
              <w:t>153,418</w:t>
            </w:r>
          </w:p>
        </w:tc>
        <w:tc>
          <w:tcPr>
            <w:tcW w:type="dxa" w:w="2880"/>
          </w:tcPr>
          <w:p>
            <w:r>
              <w:t>1.190 (1.150-1.232)</w:t>
            </w:r>
          </w:p>
        </w:tc>
      </w:tr>
      <w:tr>
        <w:tc>
          <w:tcPr>
            <w:tcW w:type="dxa" w:w="2880"/>
          </w:tcPr>
          <w:p>
            <w:r>
              <w:t>Driver drinking: No drinking driver</w:t>
            </w:r>
          </w:p>
        </w:tc>
        <w:tc>
          <w:tcPr>
            <w:tcW w:type="dxa" w:w="2880"/>
          </w:tcPr>
          <w:p>
            <w:r>
              <w:t>121,958</w:t>
            </w:r>
          </w:p>
        </w:tc>
        <w:tc>
          <w:tcPr>
            <w:tcW w:type="dxa" w:w="2880"/>
          </w:tcPr>
          <w:p>
            <w:r>
              <w:t>1.178 (1.133-1.224)</w:t>
            </w:r>
          </w:p>
        </w:tc>
      </w:tr>
      <w:tr>
        <w:tc>
          <w:tcPr>
            <w:tcW w:type="dxa" w:w="2880"/>
          </w:tcPr>
          <w:p>
            <w:r>
              <w:t>Driver drinking: Drinking driver involved</w:t>
            </w:r>
          </w:p>
        </w:tc>
        <w:tc>
          <w:tcPr>
            <w:tcW w:type="dxa" w:w="2880"/>
          </w:tcPr>
          <w:p>
            <w:r>
              <w:t>47,963</w:t>
            </w:r>
          </w:p>
        </w:tc>
        <w:tc>
          <w:tcPr>
            <w:tcW w:type="dxa" w:w="2880"/>
          </w:tcPr>
          <w:p>
            <w:r>
              <w:t>1.191 (1.119-1.269)</w:t>
            </w:r>
          </w:p>
        </w:tc>
      </w:tr>
    </w:tbl>
    <w:p/>
    <w:p>
      <w:pPr>
        <w:spacing w:after="120" w:line="480" w:lineRule="auto"/>
      </w:pPr>
      <w:r>
        <w:t>Sensitivity to activity, precipitation and heat-stress controls is summarized in Table 7.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7.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3.1. 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10); the same-day point estimate for a +9 °C anomaly was 0.940 (95% CI 0.743-1.190) and was not stable across specifications. A direct comparison of the two countries (Fig. 11)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10" name="Picture 10"/>
            <wp:cNvGraphicFramePr>
              <a:graphicFrameLocks noChangeAspect="1"/>
            </wp:cNvGraphicFramePr>
            <a:graphic>
              <a:graphicData uri="http://schemas.openxmlformats.org/drawingml/2006/picture">
                <pic:pic>
                  <pic:nvPicPr>
                    <pic:cNvPr id="0" name="jp_fig2_anomaly_exposure_response.png"/>
                    <pic:cNvPicPr/>
                  </pic:nvPicPr>
                  <pic:blipFill>
                    <a:blip r:embed="rId18"/>
                    <a:stretch>
                      <a:fillRect/>
                    </a:stretch>
                  </pic:blipFill>
                  <pic:spPr>
                    <a:xfrm>
                      <a:off x="0" y="0"/>
                      <a:ext cx="5120640" cy="3660652"/>
                    </a:xfrm>
                    <a:prstGeom prst="rect"/>
                  </pic:spPr>
                </pic:pic>
              </a:graphicData>
            </a:graphic>
          </wp:inline>
        </w:drawing>
      </w:r>
    </w:p>
    <w:p>
      <w:pPr>
        <w:spacing w:before="280"/>
      </w:pPr>
      <w:r>
        <w:rPr>
          <w:b/>
        </w:rPr>
        <w:t xml:space="preserve">Figure 10. </w:t>
      </w:r>
      <w:r>
        <w:t>Japan temperature-anomaly exposure-response (2019-2024). The estimate is imprecise: the confidence band is wide and includes the null throughout.</w:t>
      </w:r>
    </w:p>
    <w:p/>
    <w:p/>
    <w:p>
      <w:pPr>
        <w:jc w:val="center"/>
      </w:pPr>
      <w:r>
        <w:drawing>
          <wp:inline xmlns:a="http://schemas.openxmlformats.org/drawingml/2006/main" xmlns:pic="http://schemas.openxmlformats.org/drawingml/2006/picture">
            <wp:extent cx="5120640" cy="3761953"/>
            <wp:docPr id="11" name="Picture 11"/>
            <wp:cNvGraphicFramePr>
              <a:graphicFrameLocks noChangeAspect="1"/>
            </wp:cNvGraphicFramePr>
            <a:graphic>
              <a:graphicData uri="http://schemas.openxmlformats.org/drawingml/2006/picture">
                <pic:pic>
                  <pic:nvPicPr>
                    <pic:cNvPr id="0" name="cross_fig_us_vs_japan_sameday.png"/>
                    <pic:cNvPicPr/>
                  </pic:nvPicPr>
                  <pic:blipFill>
                    <a:blip r:embed="rId19"/>
                    <a:stretch>
                      <a:fillRect/>
                    </a:stretch>
                  </pic:blipFill>
                  <pic:spPr>
                    <a:xfrm>
                      <a:off x="0" y="0"/>
                      <a:ext cx="5120640" cy="3761953"/>
                    </a:xfrm>
                    <a:prstGeom prst="rect"/>
                  </pic:spPr>
                </pic:pic>
              </a:graphicData>
            </a:graphic>
          </wp:inline>
        </w:drawing>
      </w:r>
    </w:p>
    <w:p>
      <w:pPr>
        <w:spacing w:before="280"/>
      </w:pPr>
      <w:r>
        <w:rPr>
          <w:b/>
        </w:rPr>
        <w:t xml:space="preserve">Figure 11. </w:t>
      </w:r>
      <w:r>
        <w:t>Same-day rate ratio of traffic-crash deaths for a +9 °C anomaly, United States versus Japan. The US shows a precise acute effect; the Japanese estimate is underpowered. This comparison is exploratory and is not adjusted for multiple comparisons.</w:t>
      </w:r>
    </w:p>
    <w:p/>
    <w:p>
      <w:pPr>
        <w:pStyle w:val="Heading1"/>
      </w:pPr>
      <w:r>
        <w:t>4. 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t xml:space="preserve"> (Liang et al., 2021, 2022).</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 crash-circumstance strata point the same way: the excess was larger for single-vehicle crashes than for multi-vehicle collisions, persisted on clear days, and was similar whether or not a driver was reported to have been drinking.These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4.1. 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their batteries, motors and tyres are heat-stressed and may become prone to sudden power loss or brake failure in hot weather,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police-reported drinking is incompletely ascertained in FARS, so similar estimates with and without a reported drinking driver do not fully exclude an alcohol-related contribution. Eighth,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Ninth, the findings are drawn from the United States and Japan because, among high-income countries with comparably robust road-crash and meteorological data collection, no other country currently provides a fully open, daily, individual-level crash record equivalent to FARS or the Japanese NPA open data; the EU CARE database contains detailed individual accident records but is not publicly available at the daily individual level, and national open road-safety datasets in Europe are not harmonised, so the United States and Japan represent the best available public sources for this study design</w:t>
      </w:r>
      <w:r>
        <w:rPr/>
        <w:t xml:space="preserve"> (European Commission, Directorate-General for Mobility and Transport, n.d.).</w:t>
      </w:r>
      <w:r>
        <w:t xml:space="preserve"> These findings should motivate, but cannot replace, individual-level studies linking crash decedents to ambient heat and, where available, post-mortem findings.</w:t>
      </w:r>
    </w:p>
    <w:p>
      <w:pPr>
        <w:pStyle w:val="Heading1"/>
      </w:pPr>
      <w:r>
        <w:t>5. 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6. Practical Applications</w:t>
      </w:r>
    </w:p>
    <w:p>
      <w:pPr>
        <w:spacing w:line="480" w:lineRule="auto" w:after="120"/>
      </w:pPr>
      <w:r>
        <w:t>Unusually hot days are associated with an acute excess of US traffic-crash deaths that routine crash and heat-mortality surveillance do not capture. Road-safety agencies could treat forecast heat as a crash-risk condition: integrate temperature warnings into crash-prevention messaging, target alerts at motorcyclists, cyclists, pedestrians and outdoor delivery riders, and coordinate with heat-health plans so that warnings reach outdoor workers and commuters. Shared e-scooter, e-bike and bikeshare operators could temporarily reduce or suspend rentals above high-temperature thresholds, shade or relocate docking and charging infrastructure, and add heat warnings to app-based routing. These measures are consistent with a Safe System approach to environmental risk; intervention studies are needed to test whether they reduce crash risk.</w:t>
      </w:r>
    </w:p>
    <w:p>
      <w:pPr>
        <w:pStyle w:val="Heading1"/>
      </w:pPr>
      <w:r>
        <w:t>Author contributions</w:t>
      </w:r>
    </w:p>
    <w:p>
      <w:pPr>
        <w:spacing w:after="120" w:line="480" w:lineRule="auto"/>
      </w:pPr>
      <w:r>
        <w:t>The author conceived the study, performed the analysis, drafted the manuscript, and approved the final version. The author had full access to all data and verified the reported results.</w:t>
      </w:r>
    </w:p>
    <w:p>
      <w:pPr>
        <w:pStyle w:val="Heading1"/>
      </w:pPr>
      <w:r>
        <w:t>Declaration of competing interest</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and AI-assisted technologies in the manuscript preparation process</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statement</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jsr for the JSR submission package) is openly available at [repository URL anonymized for double-anonymized review]; every reported number, figure and table is regenerated from source with no hard-coded values.</w:t>
      </w:r>
    </w:p>
    <w:p>
      <w:pPr>
        <w:pStyle w:val="Heading1"/>
      </w:pPr>
      <w:r>
        <w:t>References</w:t>
      </w:r>
    </w:p>
    <w:p>
      <w:pPr>
        <w:spacing w:after="120" w:line="480" w:lineRule="auto"/>
      </w:pPr>
      <w:r>
        <w:t>Basu, R. (2009). High ambient temperature and mortality: a review of epidemiologic studies from 2001 to 2008. Environmental Health, 8, 40. https://doi.org/10.1186/1476-069X-8-40</w:t>
      </w:r>
    </w:p>
    <w:p>
      <w:pPr>
        <w:spacing w:after="120" w:line="480" w:lineRule="auto"/>
      </w:pPr>
      <w:r>
        <w:t>Centers for Disease Control and Prevention. (n.d.). CDC WONDER Underlying Cause of Death database. https://wonder.cdc.gov/</w:t>
      </w:r>
    </w:p>
    <w:p>
      <w:pPr>
        <w:spacing w:after="120" w:line="480" w:lineRule="auto"/>
      </w:pPr>
      <w:r>
        <w:t>Daanen, H. A. M., van de Vliert, E., &amp; Huang, X. (2003). Driving performance in cold, warm, and thermoneutral environments. Applied Ergonomics, 34(6), 597-602. https://doi.org/10.1016/S0003-6870(03)00055-3</w:t>
      </w:r>
    </w:p>
    <w:p>
      <w:pPr>
        <w:spacing w:after="120" w:line="480" w:lineRule="auto"/>
      </w:pPr>
      <w:r>
        <w:t>European Commission, Directorate-General for Mobility and Transport. (n.d.). Community database on road accidents (CARE). https://road-safety.transport.ec.europa.eu/european-road-safety-observatory/methodology-and-research/care-database_en</w:t>
      </w:r>
    </w:p>
    <w:p>
      <w:pPr>
        <w:spacing w:after="120" w:line="480" w:lineRule="auto"/>
      </w:pPr>
      <w:r>
        <w:t>Federal Highway Administration. (n.d.-a). Traffic Volume Trends. https://www.fhwa.dot.gov/policyinformation/travel_monitoring/tvt.cfm</w:t>
      </w:r>
    </w:p>
    <w:p>
      <w:pPr>
        <w:spacing w:after="120" w:line="480" w:lineRule="auto"/>
      </w:pPr>
      <w:r>
        <w:t>Federal Highway Administration. (n.d.-b). Highway Statistics VM-2: annual state vehicle-miles travelled. https://www.fhwa.dot.gov/policyinformation/statistics.cfm</w:t>
      </w:r>
    </w:p>
    <w:p>
      <w:pPr>
        <w:spacing w:after="120" w:line="480" w:lineRule="auto"/>
      </w:pPr>
      <w:r>
        <w:t>Gasparrini, A., &amp; Leone, M. (2014). Attributable risk from distributed lag models. BMC Medical Research Methodology, 14, 55. https://doi.org/10.1186/1471-2288-14-55</w:t>
      </w:r>
    </w:p>
    <w:p>
      <w:pPr>
        <w:spacing w:after="120" w:line="480" w:lineRule="auto"/>
      </w:pPr>
      <w:r>
        <w:t>Gasparrini, A., Armstrong, B., &amp; Kenward, M. G. (2010). Distributed lag non-linear models. Statistics in Medicine, 29(21), 2224-2234. https://doi.org/10.1002/sim.3940</w:t>
      </w:r>
    </w:p>
    <w:p>
      <w:pPr>
        <w:spacing w:after="120" w:line="480" w:lineRule="auto"/>
      </w:pPr>
      <w:r>
        <w:t>Gasparrini, A., Guo, Y., Hashizume, M., Lavigne, E., Zanobetti, A., Schwartz, J., Tobias, A., Tong, S., Rocklov, J., Forsberg, B., Leone, M., De Sario, M., Bell, M. L., Guo, Y.-L. L., Wu, C., Kan, H., Yi, S.-M., Coelho, M. S. Z. S., Saldiva, P. H. N., Honda, Y., Kim, H., &amp; Armstrong, B. (2015). Mortality risk attributable to high and low ambient temperature: a multicountry observational study. The Lancet, 386(9991), 369-375. https://doi.org/10.1016/S0140-6736(14)62114-0</w:t>
      </w:r>
    </w:p>
    <w:p>
      <w:pPr>
        <w:spacing w:after="120" w:line="480" w:lineRule="auto"/>
      </w:pPr>
      <w:r>
        <w:t>IPCC. (2021). Climate change 2021: The physical science basis. Contribution of Working Group I to the Sixth Assessment Report of the Intergovernmental Panel on Climate Change. Cambridge University Press.</w:t>
      </w:r>
    </w:p>
    <w:p>
      <w:pPr>
        <w:spacing w:after="120" w:line="480" w:lineRule="auto"/>
      </w:pPr>
      <w:r>
        <w:t>Liang, M., Min, M., Guo, X., Song, Q., Wang, H., Li, N., Su, W., Liang, Q., Ding, X., Ye, P., Duan, L., &amp; Sun, Y. (2022). The relationship between ambient temperatures and road traffic injuries: a systematic review and meta-analysis. Environmental Science and Pollution Research, 29(33), 50647-50660. https://doi.org/10.1007/s11356-022-19437-y</w:t>
      </w:r>
    </w:p>
    <w:p>
      <w:pPr>
        <w:spacing w:after="120" w:line="480" w:lineRule="auto"/>
      </w:pPr>
      <w:r>
        <w:t>Liang, M., Zhao, D., Wu, Y., Ye, P., Wang, Y., Yao, Z., Bi, P., Duan, L., &amp; Sun, Y. (2021). Short-term effects of ambient temperature and road traffic accident injuries in Dalian, Northern China: a distributed lag non-linear analysis. Accident Analysis &amp; Prevention, 153, 106057. https://doi.org/10.1016/j.aap.2021.106057</w:t>
      </w:r>
    </w:p>
    <w:p>
      <w:pPr>
        <w:spacing w:after="120" w:line="480" w:lineRule="auto"/>
      </w:pPr>
      <w:r>
        <w:t>Menne, M. J., Durre, I., Vose, R. S., Gleason, B. E., &amp; Houston, T. G. (2012). An overview of the Global Historical Climatology Network-Daily database. Journal of Atmospheric and Oceanic Technology, 29(7), 897-910. https://doi.org/10.1175/JTECH-D-11-00103.1</w:t>
      </w:r>
    </w:p>
    <w:p>
      <w:pPr>
        <w:spacing w:after="120" w:line="480" w:lineRule="auto"/>
      </w:pPr>
      <w:r>
        <w:t>National Highway Traffic Safety Administration. (n.d.). Fatality Analysis Reporting System (FARS). US Department of Transportation. https://www.nhtsa.gov/research-data/fatality-analysis-reporting-system-fars</w:t>
      </w:r>
    </w:p>
    <w:p>
      <w:pPr>
        <w:spacing w:after="120" w:line="480" w:lineRule="auto"/>
      </w:pPr>
      <w:r>
        <w:t>National Police Agency of Japan. (n.d.). Traffic accident statistics open data. https://www.npa.go.jp/publications/statistics/koutsuu/opendata/</w:t>
      </w:r>
    </w:p>
    <w:p>
      <w:pPr>
        <w:spacing w:after="120" w:line="480" w:lineRule="auto"/>
      </w:pPr>
      <w:r>
        <w:t>US Census Bureau. (n.d.). Population Estimates Program: annual state population estimates. https://www.census.gov/programs-surveys/popest.html</w:t>
      </w:r>
    </w:p>
    <w:p>
      <w:pPr>
        <w:spacing w:after="120" w:line="480" w:lineRule="auto"/>
      </w:pPr>
      <w:r>
        <w:t>US Energy Information Administration. (n.d.). Weekly finished motor gasoline product supplied (PET.WGFUPUS2.W). https://www.eia.gov/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