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(add-0.5)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abroad author-years accumulated by origin and destination civilisation. Destination is approximated by the author’s recent_group for all years in which they are abroad; this is a lower-bound approximation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052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52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abroad stock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capping dropout at 1.5 times its 90th percentile in the training window;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0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5197.55</w:t>
            </w:r>
          </w:p>
        </w:tc>
        <w:tc>
          <w:tcPr>
            <w:tcW w:type="dxa" w:w="2880"/>
          </w:tcPr>
          <w:p>
            <w:r>
              <w:t>118.94%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16500.01</w:t>
            </w:r>
          </w:p>
        </w:tc>
        <w:tc>
          <w:tcPr>
            <w:tcW w:type="dxa" w:w="2880"/>
          </w:tcPr>
          <w:p>
            <w:r>
              <w:t>136.04%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8903.72</w:t>
            </w:r>
          </w:p>
        </w:tc>
        <w:tc>
          <w:tcPr>
            <w:tcW w:type="dxa" w:w="2880"/>
          </w:tcPr>
          <w:p>
            <w:r>
              <w:t>226.79%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18638.50</w:t>
            </w:r>
          </w:p>
        </w:tc>
        <w:tc>
          <w:tcPr>
            <w:tcW w:type="dxa" w:w="2880"/>
          </w:tcPr>
          <w:p>
            <w:r>
              <w:t>304.03%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2522.43</w:t>
            </w:r>
          </w:p>
        </w:tc>
        <w:tc>
          <w:tcPr>
            <w:tcW w:type="dxa" w:w="2880"/>
          </w:tcPr>
          <w:p>
            <w:r>
              <w:t>109.17%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7835.35</w:t>
            </w:r>
          </w:p>
        </w:tc>
        <w:tc>
          <w:tcPr>
            <w:tcW w:type="dxa" w:w="2880"/>
          </w:tcPr>
          <w:p>
            <w:r>
              <w:t>152.39%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347.32</w:t>
            </w:r>
          </w:p>
        </w:tc>
        <w:tc>
          <w:tcPr>
            <w:tcW w:type="dxa" w:w="2880"/>
          </w:tcPr>
          <w:p>
            <w:r>
              <w:t>136.00%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24143.42</w:t>
            </w:r>
          </w:p>
        </w:tc>
        <w:tc>
          <w:tcPr>
            <w:tcW w:type="dxa" w:w="2880"/>
          </w:tcPr>
          <w:p>
            <w:r>
              <w:t>148.71%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10150.43</w:t>
            </w:r>
          </w:p>
        </w:tc>
        <w:tc>
          <w:tcPr>
            <w:tcW w:type="dxa" w:w="2880"/>
          </w:tcPr>
          <w:p>
            <w:r>
              <w:t>103.90%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1026.36</w:t>
            </w:r>
          </w:p>
        </w:tc>
        <w:tc>
          <w:tcPr>
            <w:tcW w:type="dxa" w:w="2880"/>
          </w:tcPr>
          <w:p>
            <w:r>
              <w:t>264.92%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23018.59</w:t>
            </w:r>
          </w:p>
        </w:tc>
        <w:tc>
          <w:tcPr>
            <w:tcW w:type="dxa" w:w="2880"/>
          </w:tcPr>
          <w:p>
            <w:r>
              <w:t>311.98%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527.95</w:t>
            </w:r>
          </w:p>
        </w:tc>
        <w:tc>
          <w:tcPr>
            <w:tcW w:type="dxa" w:w="2880"/>
          </w:tcPr>
          <w:p>
            <w:r>
              <w:t>66.15%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10307.61</w:t>
            </w:r>
          </w:p>
        </w:tc>
        <w:tc>
          <w:tcPr>
            <w:tcW w:type="dxa" w:w="2880"/>
          </w:tcPr>
          <w:p>
            <w:r>
              <w:t>210.60%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2004.61</w:t>
            </w:r>
          </w:p>
        </w:tc>
        <w:tc>
          <w:tcPr>
            <w:tcW w:type="dxa" w:w="2880"/>
          </w:tcPr>
          <w:p>
            <w:r>
              <w:t>47.01%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18575.39</w:t>
            </w:r>
          </w:p>
        </w:tc>
        <w:tc>
          <w:tcPr>
            <w:tcW w:type="dxa" w:w="2880"/>
          </w:tcPr>
          <w:p>
            <w:r>
              <w:t>56.66%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12822.49, MAPE = 159.55%.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