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Heterogeneous dropout-hazard shapes in tuberculosis treatment: a hypothesis-generating re-analysis of digitized survival curves</w:t>
      </w:r>
    </w:p>
    <w:p>
      <w:pPr>
        <w:jc w:val="center"/>
      </w:pPr>
      <w:r>
        <w:rPr>
          <w:i/>
        </w:rPr>
        <w:t>Short communication</w:t>
      </w:r>
    </w:p>
    <w:p>
      <w:r>
        <w:rPr>
          <w:b/>
          <w:sz w:val="26"/>
        </w:rPr>
        <w:t>Abstract</w:t>
      </w:r>
    </w:p>
    <w:p>
      <w:pPr>
        <w:spacing w:before="120"/>
      </w:pPr>
      <w:r>
        <w:t>Loss to follow-up (LTFU) during tuberculosis (TB) treatment is a major barrier to cure and transmission control</w:t>
      </w:r>
      <w:r>
        <w:rPr>
          <w:vertAlign w:val="superscript"/>
        </w:rPr>
        <w:t>1</w:t>
      </w:r>
      <w:r>
        <w:t>. Whether the *timing* of LTFU follows a consistent hazard shape is unknown. We fitted two-parameter Weibull cumulative-incidence models to four real, published time-to-event curves recovered by figure digitization: two TB treatment cohorts (Ethiopia</w:t>
      </w:r>
      <w:r>
        <w:rPr>
          <w:vertAlign w:val="superscript"/>
        </w:rPr>
        <w:t>2</w:t>
      </w:r>
      <w:r>
        <w:t>, China</w:t>
      </w:r>
      <w:r>
        <w:rPr>
          <w:vertAlign w:val="superscript"/>
        </w:rPr>
        <w:t>3</w:t>
      </w:r>
      <w:r>
        <w:t>) and two non-TB comparators (HIV/ART retention</w:t>
      </w:r>
      <w:r>
        <w:rPr>
          <w:vertAlign w:val="superscript"/>
        </w:rPr>
        <w:t>4</w:t>
      </w:r>
      <w:r>
        <w:t>; antipsychotic time-to-discontinuation</w:t>
      </w:r>
      <w:r>
        <w:rPr>
          <w:vertAlign w:val="superscript"/>
        </w:rPr>
        <w:t>5</w:t>
      </w:r>
      <w:r>
        <w:t xml:space="preserve">). The Weibull shape parameter k (k&gt;1 increasing-failure-rate [IFR]; k&lt;1 decreasing-failure-rate [DFR]) differed </w:t>
      </w:r>
      <w:r>
        <w:rPr>
          <w:b/>
        </w:rPr>
        <w:t>qualitatively within TB</w:t>
      </w:r>
      <w:r>
        <w:t xml:space="preserve">: Ethiopia k=1.68 (95% CI 1.29–1.95) (IFR) versus China k=0.44 (95% CI 0.43–0.50) (DFR). Both comparators were DFR (HIV/ART k=0.63 (95% CI 0.54–0.73); antipsychotic k=0.49 (95% CI 0.42–0.57)). Thus, real TB LTFU is </w:t>
      </w:r>
      <w:r>
        <w:rPr>
          <w:b/>
        </w:rPr>
        <w:t>not</w:t>
      </w:r>
      <w:r>
        <w:t xml:space="preserve"> uniformly increasing-hazard; it is heterogeneous, and the mechanism is unclear. Larger, individual-level datasets are needed to test whether this heterogeneity is real and what drives it. All results regenerate from code and the digitized source figures.</w:t>
      </w:r>
    </w:p>
    <w:p>
      <w:r>
        <w:rPr>
          <w:b/>
          <w:sz w:val="26"/>
        </w:rPr>
        <w:t>1. Introduction</w:t>
      </w:r>
    </w:p>
    <w:p>
      <w:pPr>
        <w:spacing w:before="120"/>
      </w:pPr>
      <w:r>
        <w:t>LTFU interrupts TB treatment, promotes acquired drug resistance and sustains transmission</w:t>
      </w:r>
      <w:r>
        <w:rPr>
          <w:vertAlign w:val="superscript"/>
        </w:rPr>
        <w:t>1</w:t>
      </w:r>
      <w:r>
        <w:t>. Programmatic reports usually give only a single cumulative LTFU proportion, obscuring *when* during treatment patients disengage. The hazard shape has practical meaning: an increasing hazard (k&gt;1) would argue for intensified support late in treatment, whereas a decreasing hazard (k&lt;1) would prioritize the earliest weeks. We asked a deliberately narrow, hypothesis-generating question: across the few TB cohorts that publish a time-resolved LTFU curve, is the Weibull shape consistent, and how does it compare with dropout in unrelated chronic treatments?</w:t>
      </w:r>
    </w:p>
    <w:p>
      <w:r>
        <w:rPr>
          <w:b/>
          <w:sz w:val="26"/>
        </w:rPr>
        <w:t>2. Methods</w:t>
      </w:r>
    </w:p>
    <w:p>
      <w:pPr>
        <w:spacing w:before="120"/>
      </w:pPr>
      <w:r>
        <w:t>We used only real, published curves. TB data were the competing-risk LTFU cumulative incidence at Ambo General Hospital, Ethiopia</w:t>
      </w:r>
      <w:r>
        <w:rPr>
          <w:vertAlign w:val="superscript"/>
        </w:rPr>
        <w:t>2</w:t>
      </w:r>
      <w:r>
        <w:t>, and the all-patient time-to-LTFU Kaplan–Meier curve from a 5-year Chinese cohort</w:t>
      </w:r>
      <w:r>
        <w:rPr>
          <w:vertAlign w:val="superscript"/>
        </w:rPr>
        <w:t>3</w:t>
      </w:r>
      <w:r>
        <w:t>. Comparators were an HIV/ART retention curve</w:t>
      </w:r>
      <w:r>
        <w:rPr>
          <w:vertAlign w:val="superscript"/>
        </w:rPr>
        <w:t>4</w:t>
      </w:r>
      <w:r>
        <w:t xml:space="preserve"> and an antipsychotic time-to-discontinuation curve</w:t>
      </w:r>
      <w:r>
        <w:rPr>
          <w:vertAlign w:val="superscript"/>
        </w:rPr>
        <w:t>5</w:t>
      </w:r>
      <w:r>
        <w:t>. Curves were digitized from the published figures by an in-house pixel extractor with axis calibration read from figure tick marks (values taken from curve pixels, not entered by hand). For each dataset we fitted the Weibull cumulative-incidence model F(t)=1−exp(−(t/λ)^k) by nonlinear least squares, obtained a bootstrap 95% CI for k, and compared fit with exponential (k=1) and log-normal models by AIC. The shape parameter k is unit-free, so mixed follow-up units (months, days) do not affect the cross-study comparison. Data, code and a one-command build are in the public repository (Data and code availability).</w:t>
      </w:r>
    </w:p>
    <w:p>
      <w:r>
        <w:rPr>
          <w:b/>
          <w:sz w:val="26"/>
        </w:rPr>
        <w:t>3. Results</w:t>
      </w:r>
    </w:p>
    <w:p>
      <w:pPr>
        <w:spacing w:before="120"/>
      </w:pPr>
      <w:r>
        <w:t xml:space="preserve">Fitted parameters are shown in Table 1 and the fits are overlaid on the digitized data in Figure 1. Within TB, the two cohorts fell on </w:t>
      </w:r>
      <w:r>
        <w:rPr>
          <w:b/>
        </w:rPr>
        <w:t>opposite sides</w:t>
      </w:r>
      <w:r>
        <w:t xml:space="preserve"> of k=1: the Ethiopian competing-risk CIF accelerated over the 6-month course (k=1.68 (95% CI 1.29–1.95), IFR), whereas the Chinese all-patient curve was strongly front-loaded (k=0.44 (95% CI 0.43–0.50), DFR), most LTFU occurring in the first months. Both non-TB comparators were DFR (HIV/ART k=0.63 (95% CI 0.54–0.73); antipsychotic k=0.49 (95% CI 0.42–0.57)), i.e. dropout risk highest early then decelerating.</w:t>
      </w:r>
    </w:p>
    <w:p>
      <w:pPr>
        <w:spacing w:before="200"/>
      </w:pPr>
      <w:r>
        <w:rPr>
          <w:b/>
        </w:rPr>
        <w:t>Table 1.</w:t>
      </w:r>
      <w:r>
        <w:t xml:space="preserve"> Weibull fits to digitized treatment-dropout curves (source of truth: results/weibull_fits.csv).</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Dataset (source)</w:t>
            </w:r>
          </w:p>
        </w:tc>
        <w:tc>
          <w:tcPr>
            <w:tcW w:type="dxa" w:w="1872"/>
          </w:tcPr>
          <w:p>
            <w:r>
              <w:rPr>
                <w:b/>
              </w:rPr>
              <w:t>k (95% CI)</w:t>
            </w:r>
          </w:p>
        </w:tc>
        <w:tc>
          <w:tcPr>
            <w:tcW w:type="dxa" w:w="1872"/>
          </w:tcPr>
          <w:p>
            <w:r>
              <w:rPr>
                <w:b/>
              </w:rPr>
              <w:t>λ</w:t>
            </w:r>
          </w:p>
        </w:tc>
        <w:tc>
          <w:tcPr>
            <w:tcW w:type="dxa" w:w="1872"/>
          </w:tcPr>
          <w:p>
            <w:r>
              <w:rPr>
                <w:b/>
              </w:rPr>
              <w:t>R²</w:t>
            </w:r>
          </w:p>
        </w:tc>
        <w:tc>
          <w:tcPr>
            <w:tcW w:type="dxa" w:w="1872"/>
          </w:tcPr>
          <w:p>
            <w:r>
              <w:rPr>
                <w:b/>
              </w:rPr>
              <w:t>Hazard pattern</w:t>
            </w:r>
          </w:p>
        </w:tc>
      </w:tr>
      <w:tr>
        <w:tc>
          <w:tcPr>
            <w:tcW w:type="dxa" w:w="1872"/>
          </w:tcPr>
          <w:p>
            <w:r>
              <w:t>TB-Ethiopia — PMC10290796 Fig.1a (competing-risk CIF, 6 mo)</w:t>
            </w:r>
          </w:p>
        </w:tc>
        <w:tc>
          <w:tcPr>
            <w:tcW w:type="dxa" w:w="1872"/>
          </w:tcPr>
          <w:p>
            <w:r>
              <w:t>1.68 (1.29–1.95)</w:t>
            </w:r>
          </w:p>
        </w:tc>
        <w:tc>
          <w:tcPr>
            <w:tcW w:type="dxa" w:w="1872"/>
          </w:tcPr>
          <w:p>
            <w:r>
              <w:t>21.5</w:t>
            </w:r>
          </w:p>
        </w:tc>
        <w:tc>
          <w:tcPr>
            <w:tcW w:type="dxa" w:w="1872"/>
          </w:tcPr>
          <w:p>
            <w:r>
              <w:t>0.978</w:t>
            </w:r>
          </w:p>
        </w:tc>
        <w:tc>
          <w:tcPr>
            <w:tcW w:type="dxa" w:w="1872"/>
          </w:tcPr>
          <w:p>
            <w:r>
              <w:t>IFR (k&gt;1)</w:t>
            </w:r>
          </w:p>
        </w:tc>
      </w:tr>
      <w:tr>
        <w:tc>
          <w:tcPr>
            <w:tcW w:type="dxa" w:w="1872"/>
          </w:tcPr>
          <w:p>
            <w:r>
              <w:t>TB-China — PMC10167013 Fig.3 (All-TB KM retention, 12 mo)</w:t>
            </w:r>
          </w:p>
        </w:tc>
        <w:tc>
          <w:tcPr>
            <w:tcW w:type="dxa" w:w="1872"/>
          </w:tcPr>
          <w:p>
            <w:r>
              <w:t>0.44 (0.43–0.50)</w:t>
            </w:r>
          </w:p>
        </w:tc>
        <w:tc>
          <w:tcPr>
            <w:tcW w:type="dxa" w:w="1872"/>
          </w:tcPr>
          <w:p>
            <w:r>
              <w:t>957.3</w:t>
            </w:r>
          </w:p>
        </w:tc>
        <w:tc>
          <w:tcPr>
            <w:tcW w:type="dxa" w:w="1872"/>
          </w:tcPr>
          <w:p>
            <w:r>
              <w:t>0.920</w:t>
            </w:r>
          </w:p>
        </w:tc>
        <w:tc>
          <w:tcPr>
            <w:tcW w:type="dxa" w:w="1872"/>
          </w:tcPr>
          <w:p>
            <w:r>
              <w:t>DFR (k&lt;1)</w:t>
            </w:r>
          </w:p>
        </w:tc>
      </w:tr>
      <w:tr>
        <w:tc>
          <w:tcPr>
            <w:tcW w:type="dxa" w:w="1872"/>
          </w:tcPr>
          <w:p>
            <w:r>
              <w:t>ART/HIV — PMC12953970 Fig.1A (retention KM, months)</w:t>
            </w:r>
          </w:p>
        </w:tc>
        <w:tc>
          <w:tcPr>
            <w:tcW w:type="dxa" w:w="1872"/>
          </w:tcPr>
          <w:p>
            <w:r>
              <w:t>0.63 (0.54–0.73)</w:t>
            </w:r>
          </w:p>
        </w:tc>
        <w:tc>
          <w:tcPr>
            <w:tcW w:type="dxa" w:w="1872"/>
          </w:tcPr>
          <w:p>
            <w:r>
              <w:t>228.3</w:t>
            </w:r>
          </w:p>
        </w:tc>
        <w:tc>
          <w:tcPr>
            <w:tcW w:type="dxa" w:w="1872"/>
          </w:tcPr>
          <w:p>
            <w:r>
              <w:t>0.926</w:t>
            </w:r>
          </w:p>
        </w:tc>
        <w:tc>
          <w:tcPr>
            <w:tcW w:type="dxa" w:w="1872"/>
          </w:tcPr>
          <w:p>
            <w:r>
              <w:t>DFR (k&lt;1)</w:t>
            </w:r>
          </w:p>
        </w:tc>
      </w:tr>
      <w:tr>
        <w:tc>
          <w:tcPr>
            <w:tcW w:type="dxa" w:w="1872"/>
          </w:tcPr>
          <w:p>
            <w:r>
              <w:t>Antipsychotic — PMC12437960 (time-to-discontinuation KM, days)</w:t>
            </w:r>
          </w:p>
        </w:tc>
        <w:tc>
          <w:tcPr>
            <w:tcW w:type="dxa" w:w="1872"/>
          </w:tcPr>
          <w:p>
            <w:r>
              <w:t>0.49 (0.42–0.57)</w:t>
            </w:r>
          </w:p>
        </w:tc>
        <w:tc>
          <w:tcPr>
            <w:tcW w:type="dxa" w:w="1872"/>
          </w:tcPr>
          <w:p>
            <w:r>
              <w:t>104.8</w:t>
            </w:r>
          </w:p>
        </w:tc>
        <w:tc>
          <w:tcPr>
            <w:tcW w:type="dxa" w:w="1872"/>
          </w:tcPr>
          <w:p>
            <w:r>
              <w:t>0.958</w:t>
            </w:r>
          </w:p>
        </w:tc>
        <w:tc>
          <w:tcPr>
            <w:tcW w:type="dxa" w:w="1872"/>
          </w:tcPr>
          <w:p>
            <w:r>
              <w:t>DFR (k&lt;1)</w:t>
            </w:r>
          </w:p>
        </w:tc>
      </w:tr>
    </w:tbl>
    <w:p>
      <w:pPr>
        <w:spacing w:before="280"/>
      </w:pPr>
    </w:p>
    <w:p>
      <w:pPr>
        <w:jc w:val="center"/>
      </w:pPr>
      <w:r>
        <w:drawing>
          <wp:inline xmlns:a="http://schemas.openxmlformats.org/drawingml/2006/main" xmlns:pic="http://schemas.openxmlformats.org/drawingml/2006/picture">
            <wp:extent cx="5760720" cy="4451465"/>
            <wp:docPr id="1" name="Picture 1"/>
            <wp:cNvGraphicFramePr>
              <a:graphicFrameLocks noChangeAspect="1"/>
            </wp:cNvGraphicFramePr>
            <a:graphic>
              <a:graphicData uri="http://schemas.openxmlformats.org/drawingml/2006/picture">
                <pic:pic>
                  <pic:nvPicPr>
                    <pic:cNvPr id="0" name="weibull_real_fits.png"/>
                    <pic:cNvPicPr/>
                  </pic:nvPicPr>
                  <pic:blipFill>
                    <a:blip r:embed="rId9"/>
                    <a:stretch>
                      <a:fillRect/>
                    </a:stretch>
                  </pic:blipFill>
                  <pic:spPr>
                    <a:xfrm>
                      <a:off x="0" y="0"/>
                      <a:ext cx="5760720" cy="4451465"/>
                    </a:xfrm>
                    <a:prstGeom prst="rect"/>
                  </pic:spPr>
                </pic:pic>
              </a:graphicData>
            </a:graphic>
          </wp:inline>
        </w:drawing>
      </w:r>
    </w:p>
    <w:p>
      <w:pPr>
        <w:spacing w:before="80"/>
      </w:pPr>
      <w:r>
        <w:rPr>
          <w:b/>
        </w:rPr>
        <w:t>Figure 1.</w:t>
      </w:r>
      <w:r>
        <w:t xml:space="preserve"> Weibull cumulative-incidence fits (red) to digitized dropout curves (points) for two TB cohorts and two comparators. TB is split between IFR (Ethiopia) and DFR (China); comparators are DFR.</w:t>
      </w:r>
    </w:p>
    <w:p>
      <w:r>
        <w:rPr>
          <w:b/>
          <w:sz w:val="26"/>
        </w:rPr>
        <w:t>4. Discussion</w:t>
      </w:r>
    </w:p>
    <w:p>
      <w:pPr>
        <w:spacing w:before="120"/>
      </w:pPr>
      <w:r>
        <w:t xml:space="preserve">The headline observation is negative and, we think, honest: </w:t>
      </w:r>
      <w:r>
        <w:rPr>
          <w:b/>
        </w:rPr>
        <w:t>real TB treatment LTFU does not follow a single hazard shape.</w:t>
      </w:r>
      <w:r>
        <w:t xml:space="preserve"> One TB cohort accelerated (late-concentrated LTFU) while another was front-loaded, spanning the whole IFR–DFR range that the two unrelated comparators occupied only on the DFR side. We cannot explain the TB heterogeneity from these data. Plausible contributors include different outcome definitions (competing-risk CIF vs all-patient KM), different case mix and programme context, the 6- vs 12-month observation windows, and digitization of aggregate rather than individual-level curves. The point of this short report is precisely that the heterogeneity is visible yet unexplained: with more TB cohorts—ideally individual patient data with consistent LTFU definitions—one could test whether the shape varies with regimen phase, health-system factors or case mix, and whether any subgroup reliably shows late-rising hazard that would justify late-treatment retention support.</w:t>
      </w:r>
    </w:p>
    <w:p>
      <w:r>
        <w:rPr>
          <w:b/>
          <w:sz w:val="26"/>
        </w:rPr>
        <w:t>5. Limitations</w:t>
      </w:r>
    </w:p>
    <w:p>
      <w:pPr>
        <w:spacing w:before="120"/>
      </w:pPr>
      <w:r>
        <w:t>Only two TB and two comparator curves met the bar of a genuinely time-resolved, openly available dropout curve; earlier five-country claims could not be reproduced from primary sources and are not made here. Estimates come from digitized aggregate curves, not individual patient data; the Ethiopian estimate is a competing-risk *subdistribution*-hazard shape; the antipsychotic cohort is small (n≈42) and illustrative; KM plateaus reflect administrative censoring. These results are hypothesis-generating, not confirmatory.</w:t>
      </w:r>
    </w:p>
    <w:p>
      <w:r>
        <w:rPr>
          <w:b/>
          <w:sz w:val="26"/>
        </w:rPr>
        <w:t>6. Data and code availability</w:t>
      </w:r>
    </w:p>
    <w:p>
      <w:pPr>
        <w:spacing w:before="120"/>
      </w:pPr>
      <w:r>
        <w:t>All source figures, digitized CSVs, analysis code and a one-command build (`make`) that regenerates every number, the table and Figure 1 are in the public repository under weibull-clinical-dropout/reanalysis_real/. No result is hard-coded.</w:t>
      </w:r>
    </w:p>
    <w:p>
      <w:r>
        <w:rPr>
          <w:b/>
          <w:sz w:val="26"/>
        </w:rPr>
        <w:t>References</w:t>
      </w:r>
    </w:p>
    <w:p>
      <w:pPr>
        <w:spacing w:before="60"/>
      </w:pPr>
      <w:r>
        <w:t>1. World Health Organization. Global Tuberculosis Report 2023. Geneva: WHO; 2023.</w:t>
      </w:r>
    </w:p>
    <w:p>
      <w:pPr>
        <w:spacing w:before="60"/>
      </w:pPr>
      <w:r>
        <w:t>2. Fufa DB, Diriba TA, Dame KT, Debusho LK. Competing risk models to evaluate the factors for time to loss to follow-up among tuberculosis patients at Ambo General Hospital. Arch Public Health. 2023;81:113. doi:10.1186/s13690-023-01130-2.</w:t>
      </w:r>
    </w:p>
    <w:p>
      <w:pPr>
        <w:spacing w:before="60"/>
      </w:pPr>
      <w:r>
        <w:t>3. Jiang Y, Chen J, Ying M, Liu L, Li M, Lu S, et al. Factors associated with loss to follow-up before and after treatment initiation among patients with tuberculosis: a 5-year observation in China. Front Med. 2023;10:1136094. doi:10.3389/fmed.2023.1136094.</w:t>
      </w:r>
    </w:p>
    <w:p>
      <w:pPr>
        <w:spacing w:before="60"/>
      </w:pPr>
      <w:r>
        <w:t>4. Daba O, Tsegaye D, Reshad M. Incidence and predictors of loss to follow-up among ART patients on follow-up at public health facilities in Southwest Ethiopia: a time-to-event analysis. J Int Assoc Provid AIDS Care. 2026;25:23259582261426232. doi:10.1177/23259582261426232.</w:t>
      </w:r>
    </w:p>
    <w:p>
      <w:pPr>
        <w:spacing w:before="60"/>
      </w:pPr>
      <w:r>
        <w:t>5. Salas Aranda P, Garcia Cerdan C, Martin Gomez C, Lorenzo Romo C, Turrion Gomez M, Isidoro Garcia M, et al. Time to discontinuation in routine clinical practice of the initially prescribed antipsychotic treatment in patients with first-episode psychosis. Eur Psychiatry. 2025;68(Suppl):PMC12437960.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