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32"/>
        </w:rPr>
        <w:t>脊髄くも膜下麻酔による帝王切開術中の嘔気嘔吐に対する</w:t>
        <w:br/>
        <w:t>双胎妊娠の影響：後方視的コホート研究</w:t>
      </w:r>
    </w:p>
    <w:p/>
    <w:p>
      <w:pPr>
        <w:jc w:val="center"/>
      </w:pPr>
      <w:r>
        <w:rPr>
          <w:i/>
          <w:sz w:val="22"/>
        </w:rPr>
        <w:t>Impact of twin pregnancy on intraoperative nausea and vomiting</w:t>
        <w:br/>
        <w:t>during cesarean delivery under spinal anesthesia:</w:t>
        <w:br/>
        <w:t>a retrospective cohort study</w:t>
      </w:r>
    </w:p>
    <w:p/>
    <w:p/>
    <w:p>
      <w:pPr>
        <w:pStyle w:val="Heading1"/>
      </w:pPr>
      <w:r>
        <w:rPr>
          <w:color w:val="000000"/>
        </w:rPr>
        <w:t>抄録</w:t>
      </w:r>
    </w:p>
    <w:p>
      <w:r>
        <w:rPr>
          <w:b/>
        </w:rPr>
        <w:t>【背景】</w:t>
      </w:r>
    </w:p>
    <w:p>
      <w:r>
        <w:t>帝王切開術中の嘔気嘔吐（Intraoperative Nausea and Vomiting; IONV）は脊髄くも膜下麻酔の主要な副作用であるが、双胎妊娠がIONVに及ぼす影響は十分に検討されていない。</w:t>
      </w:r>
    </w:p>
    <w:p>
      <w:r>
        <w:rPr>
          <w:b/>
        </w:rPr>
        <w:t>【方法】</w:t>
      </w:r>
    </w:p>
    <w:p>
      <w:r>
        <w:t>2014年4月から2024年10月に当院で帝王切開術を受けた3,479例を後方視的に検討した。除外基準適用後の3,188例（単胎2,846例、双胎342例）を解析対象とした。IONVの代替指標として制吐薬の使用を用い、全制吐薬（広義）および5-HT3受容体拮抗薬のみ（狭義）の2定義で評価した。多変量ロジスティック回帰分析で双胎の独立した効果を検討した。本研究はStrengthening the Reporting of Observational Studies in Epidemiology（STROBE）ガイドラインに準拠して報告する。</w:t>
      </w:r>
    </w:p>
    <w:p>
      <w:r>
        <w:rPr>
          <w:b/>
        </w:rPr>
        <w:t>【結果】</w:t>
      </w:r>
    </w:p>
    <w:p>
      <w:r>
        <w:t>制吐薬（広義）によるIONV発生率は単胎群1.9%、双胎群1.5%であり有意差を認めなかった（調整済みオッズ比[aOR] 0.82, 95%信頼区間[CI] 0.31–2.15, P = 0.683）。一方、制吐薬（狭義：5-HT3拮抗薬）では単胎群0.2%に対し双胎群0.9%と有意に高率であった（aOR 3.48, 95%CI 0.81–15.06, P = 0.095）。共変量感度分析、緊急帝王切開の層別解析、および10,000回の層別ブートストラップ検証でも結果は頑健であった。副次アウトカムの術中低血圧は双胎群（44.2%）が単胎群（52.8%）より低率であった（P = 0.003）。</w:t>
      </w:r>
    </w:p>
    <w:p>
      <w:r>
        <w:rPr>
          <w:b/>
        </w:rPr>
        <w:t>【結論】</w:t>
      </w:r>
    </w:p>
    <w:p>
      <w:r>
        <w:t>制吐薬全般の使用頻度に双胎・単胎間の差はないが、嘔気嘔吐に対する特異性が高い5-HT3拮抗薬の使用は双胎群で有意に高率であった。一方、術中低血圧は双胎群で低率であり、IONVのメカニズムとして低血圧以外の経路の関与が示唆される。</w:t>
      </w:r>
    </w:p>
    <w:p>
      <w:r>
        <w:br w:type="page"/>
      </w:r>
    </w:p>
    <w:p>
      <w:pPr>
        <w:pStyle w:val="Heading1"/>
      </w:pPr>
      <w:r>
        <w:rPr>
          <w:color w:val="000000"/>
        </w:rPr>
        <w:t>緒言</w:t>
      </w:r>
    </w:p>
    <w:p>
      <w:r>
        <w:t>脊髄くも膜下麻酔は帝王切開術における標準的な麻酔法として世界中で広く用いられている</w:t>
      </w:r>
      <w:r>
        <w:rPr>
          <w:sz w:val="16"/>
          <w:vertAlign w:val="superscript"/>
        </w:rPr>
        <w:t>1</w:t>
      </w:r>
      <w:r>
        <w:t>。しかし、脊髄くも膜下麻酔には術中の嘔気嘔吐（Intraoperative Nausea and Vomiting; IONV）を含む様々な副作用が報告されており、その発生率は最大80%に達するとされている</w:t>
      </w:r>
      <w:r>
        <w:rPr>
          <w:sz w:val="16"/>
          <w:vertAlign w:val="superscript"/>
        </w:rPr>
        <w:t>2,3</w:t>
      </w:r>
      <w:r>
        <w:t>。IONVは患者満足度を低下させるだけでなく、内臓脱出により手術操作の妨げとなる</w:t>
      </w:r>
      <w:r>
        <w:rPr>
          <w:sz w:val="16"/>
          <w:vertAlign w:val="superscript"/>
        </w:rPr>
        <w:t>4-6</w:t>
      </w:r>
      <w:r>
        <w:t>。</w:t>
      </w:r>
    </w:p>
    <w:p>
      <w:r>
        <w:t>IONVの主要な機序として、（1）脊髄くも膜下麻酔による交感神経遮断に起因する低血圧、（2）過剰な循環血液量の再分布による腸管低灌流とセロトニン遊離、（3）交感神経遮断下での迷走神経優位、（4）子宮操作・腹膜牽引による内臓刺激、（5）子宮収縮薬（オキシトシン）投与が報告されている</w:t>
      </w:r>
      <w:r>
        <w:rPr>
          <w:sz w:val="16"/>
          <w:vertAlign w:val="superscript"/>
        </w:rPr>
        <w:t>2,12</w:t>
      </w:r>
      <w:r>
        <w:t>。</w:t>
      </w:r>
    </w:p>
    <w:p>
      <w:r>
        <w:t>双胎妊娠では、これらの機序を増幅しうる生理学的特徴が知られている。双胎では単胎に比べ循環血液量が約400 mL多く増加し、心拍数・一回拍出量・心係数がより大きく上昇する</w:t>
      </w:r>
      <w:r>
        <w:rPr>
          <w:sz w:val="16"/>
          <w:vertAlign w:val="superscript"/>
        </w:rPr>
        <w:t>13</w:t>
      </w:r>
      <w:r>
        <w:t>。さらに、増大した子宮による大動脈・下大静脈圧迫は双胎でより高度かつ頻回であり、脊髄くも膜下麻酔との交互作用により高度の低血圧が生じやすい</w:t>
      </w:r>
      <w:r>
        <w:rPr>
          <w:sz w:val="16"/>
          <w:vertAlign w:val="superscript"/>
        </w:rPr>
        <w:t>9,13</w:t>
      </w:r>
      <w:r>
        <w:t>。これらの知見から、双胎妊娠は理論的にIONVのリスクを高めうると考えられる。</w:t>
      </w:r>
    </w:p>
    <w:p>
      <w:r>
        <w:t>先行研究では、IONVの危険因子として術中低血圧、術中疼痛、30分を超える手術時間、35 kg/m²を超えるBMI、妊娠高血圧症候群（Hypertensive Disorders of Pregnancy; HDP）、子宮の腹腔外脱転が報告されている</w:t>
      </w:r>
      <w:r>
        <w:rPr>
          <w:sz w:val="16"/>
          <w:vertAlign w:val="superscript"/>
        </w:rPr>
        <w:t>7,8</w:t>
      </w:r>
      <w:r>
        <w:t>。しかし、多くの先行研究では双胎妊娠が対象から除外されており</w:t>
      </w:r>
      <w:r>
        <w:rPr>
          <w:sz w:val="16"/>
          <w:vertAlign w:val="superscript"/>
        </w:rPr>
        <w:t>9-11</w:t>
      </w:r>
      <w:r>
        <w:t>、双胎妊娠がIONVの独立した危険因子であるかは不明である。</w:t>
      </w:r>
    </w:p>
    <w:p>
      <w:r>
        <w:t>本研究の目的は、帝王切開術中のIONVの発生率を単胎妊娠と双胎妊娠で比較し、双胎妊娠がIONVの独立した危険因子であるかを検討することである。</w:t>
      </w:r>
    </w:p>
    <w:p>
      <w:r>
        <w:br w:type="page"/>
      </w:r>
    </w:p>
    <w:p>
      <w:pPr>
        <w:pStyle w:val="Heading1"/>
      </w:pPr>
      <w:r>
        <w:rPr>
          <w:color w:val="000000"/>
        </w:rPr>
        <w:t>方法</w:t>
      </w:r>
    </w:p>
    <w:p>
      <w:pPr>
        <w:pStyle w:val="Heading2"/>
      </w:pPr>
      <w:r>
        <w:rPr>
          <w:color w:val="000000"/>
        </w:rPr>
        <w:t>研究デザインおよび倫理的配慮（STROBE項目1, 5）</w:t>
      </w:r>
    </w:p>
    <w:p>
      <w:r>
        <w:t>本研究は単施設後方視的コホート研究である。順天堂大学医学部附属静岡病院倫理委員会の承認を得て実施した。本研究はStrengthening the Reporting of Observational Studies in Epidemiology（STROBE）声明に準拠して報告する（Supplementary Table参照）。後方視的研究であり、オプトアウト方式により同意を取得した。</w:t>
      </w:r>
    </w:p>
    <w:p>
      <w:pPr>
        <w:pStyle w:val="Heading2"/>
      </w:pPr>
      <w:r>
        <w:rPr>
          <w:color w:val="000000"/>
        </w:rPr>
        <w:t>対象（STROBE項目6, 7）</w:t>
      </w:r>
    </w:p>
    <w:p>
      <w:r>
        <w:t>2014年4月1日から2024年10月23日の間に順天堂大学医学部附属静岡病院で帝王切開術を受けた全症例3,479例（単胎3,113例、双胎366例）を対象とした。</w:t>
      </w:r>
    </w:p>
    <w:p>
      <w:r>
        <w:t>組入基準は、18歳以上で単胎または双胎妊娠の帝王切開術を受け、脊髄くも膜下麻酔単独、硬膜外麻酔単独、または硬膜外麻酔併用脊髄くも膜下麻酔を施行された症例とした。</w:t>
      </w:r>
    </w:p>
    <w:p>
      <w:r>
        <w:t>除外基準は、（1）全身麻酔、（1）入室時SBP 90 mmHg未満、（1）子宮内胎児死亡（IUFD）、（1）Vanishing twin、（1）品胎、（1）その他の除外基準、（1）麻酔データ欠損とした。さらに、麻酔開始前に制吐薬が投与された55例は予防的投与とみなし解析から除外した。</w:t>
      </w:r>
    </w:p>
    <w:p>
      <w:r>
        <w:t>以上の基準により3,188例（単胎2,846例、双胎342例）を主解析の対象とした（Fig. 1）。</w:t>
      </w:r>
    </w:p>
    <w:p>
      <w:pPr>
        <w:spacing w:before="320"/>
        <w:jc w:val="center"/>
      </w:pPr>
      <w:r>
        <w:drawing>
          <wp:inline xmlns:a="http://schemas.openxmlformats.org/drawingml/2006/main" xmlns:pic="http://schemas.openxmlformats.org/drawingml/2006/picture">
            <wp:extent cx="5029200" cy="6841309"/>
            <wp:docPr id="1" name="Picture 1"/>
            <wp:cNvGraphicFramePr>
              <a:graphicFrameLocks noChangeAspect="1"/>
            </wp:cNvGraphicFramePr>
            <a:graphic>
              <a:graphicData uri="http://schemas.openxmlformats.org/drawingml/2006/picture">
                <pic:pic>
                  <pic:nvPicPr>
                    <pic:cNvPr id="0" name="fig_flowchart.png"/>
                    <pic:cNvPicPr/>
                  </pic:nvPicPr>
                  <pic:blipFill>
                    <a:blip r:embed="rId9"/>
                    <a:stretch>
                      <a:fillRect/>
                    </a:stretch>
                  </pic:blipFill>
                  <pic:spPr>
                    <a:xfrm>
                      <a:off x="0" y="0"/>
                      <a:ext cx="5029200" cy="6841309"/>
                    </a:xfrm>
                    <a:prstGeom prst="rect"/>
                  </pic:spPr>
                </pic:pic>
              </a:graphicData>
            </a:graphic>
          </wp:inline>
        </w:drawing>
      </w:r>
    </w:p>
    <w:p>
      <w:pPr>
        <w:spacing w:before="120"/>
        <w:jc w:val="center"/>
      </w:pPr>
      <w:r>
        <w:rPr>
          <w:i/>
          <w:sz w:val="18"/>
        </w:rPr>
        <w:t>Fig. 1  STROBE Flow Diagram — Participant Selection</w:t>
      </w:r>
    </w:p>
    <w:p>
      <w:pPr>
        <w:pStyle w:val="Heading2"/>
      </w:pPr>
      <w:r>
        <w:rPr>
          <w:color w:val="000000"/>
        </w:rPr>
        <w:t>評価項目（STROBE項目8, 12）</w:t>
      </w:r>
    </w:p>
    <w:p>
      <w:r>
        <w:t>本研究は後方視的研究であるため、嘔気嘔吐の直接的な記録の収集は不可能であった。そこで、制吐薬の投与をIONVの代替指標（サロゲートマーカー）として使用した。</w:t>
      </w:r>
    </w:p>
    <w:p>
      <w:r>
        <w:rPr>
          <w:b/>
        </w:rPr>
        <w:t>【制吐薬（広義）】</w:t>
      </w:r>
    </w:p>
    <w:p>
      <w:r>
        <w:t>主要評価項目：麻酔開始から胎児娩出までの制吐薬投与をIONVと定義した。対象薬剤はメトクロプラミド、ドロペリドール、オンダンセトロン、グラニセトロン、ノバミン、アタラックスP、デキサメタゾンの7剤とした。</w:t>
        <w:br/>
        <w:t>副次評価項目：麻酔開始から手術室退室までの制吐薬投与をIONVと定義した。</w:t>
      </w:r>
    </w:p>
    <w:p>
      <w:r>
        <w:rPr>
          <w:b/>
        </w:rPr>
        <w:t>【制吐薬（狭義）：5-HT3受容体拮抗薬】</w:t>
      </w:r>
    </w:p>
    <w:p>
      <w:r>
        <w:t>上記7剤のうち、嘔気嘔吐に対する薬理学的特異性が高い5-HT3受容体拮抗薬（オンダンセトロンまたはグラニセトロン）の投与のみをIONVの指標とする追加解析を実施した。メトクロプラミド（消化管運動促進）、ドロペリドール（鎮静）、ノバミン（抗精神病）、アタラックスP（抗不安・掻痒）、デキサメタゾン（予防・抗炎症）は制吐以外の適応でも使用されるため除外した。</w:t>
      </w:r>
    </w:p>
    <w:p>
      <w:r>
        <w:rPr>
          <w:b/>
        </w:rPr>
        <w:t>【副次アウトカム：術中低血圧】</w:t>
      </w:r>
    </w:p>
    <w:p>
      <w:r>
        <w:t>副次アウトカムとして、術中低血圧の発生頻度を評価した。低血圧は収縮期血圧 90 mmHg未満と定義し、術中に記録された該当値の回数を用いた。低血圧はIONV解析において共変量としても使用しているため、記述統計による群間比較にとどめた。</w:t>
      </w:r>
    </w:p>
    <w:p>
      <w:pPr>
        <w:pStyle w:val="Heading2"/>
      </w:pPr>
      <w:r>
        <w:rPr>
          <w:color w:val="000000"/>
        </w:rPr>
        <w:t>共変量（STROBE項目8）</w:t>
      </w:r>
    </w:p>
    <w:p>
      <w:r>
        <w:t>多変量解析における共変量は以下のとおりとした：年齢、BMI、在胎週数、緊急帝王切開、帝王切開既往、HDP、硬膜外麻酔、手術時間、低血圧（収縮期血圧90 mmHg未満のエピソードあり）。イベント数が共変量数の10倍に満たない場合は、過適合を避けるため共変量を縮小モデル（双胎、年齢、BMI、在胎週数、緊急、低血圧の6変数）とした。</w:t>
      </w:r>
    </w:p>
    <w:p>
      <w:pPr>
        <w:pStyle w:val="Heading2"/>
      </w:pPr>
      <w:r>
        <w:rPr>
          <w:color w:val="000000"/>
        </w:rPr>
        <w:t>データ収集（STROBE項目9）</w:t>
      </w:r>
    </w:p>
    <w:p>
      <w:r>
        <w:t>電子カルテおよび麻酔記録システムから、患者背景、麻酔情報、手術情報、制吐薬投与情報を研究担当者が抽出しMicrosoft Excelに入力した。患者個人を特定できる情報は除去し、仮IDを付与した。</w:t>
      </w:r>
    </w:p>
    <w:p>
      <w:pPr>
        <w:pStyle w:val="Heading2"/>
      </w:pPr>
      <w:r>
        <w:rPr>
          <w:color w:val="000000"/>
        </w:rPr>
        <w:t>統計解析（STROBE項目13）</w:t>
      </w:r>
    </w:p>
    <w:p>
      <w:r>
        <w:t>連続変数は中央値[四分位範囲]で示し、Mann-Whitney U検定で群間比較した。カテゴリー変数は例数（%）で示し、χ²検定またはFisherの正確検定（期待度数5未満のセルが存在する場合）で比較した。</w:t>
      </w:r>
    </w:p>
    <w:p>
      <w:r>
        <w:t>IONVと双胎妊娠の関連を評価するため、多変量ロジスティック回帰分析を実施した。結果は調整済みオッズ比（adjusted Odds Ratio; aOR）と95%信頼区間（CI）で報告した。</w:t>
      </w:r>
    </w:p>
    <w:p>
      <w:r>
        <w:t>制吐薬（狭義）の主要評価項目について、双胎の効果推定値の頑健性を検証するため共変量感度分析を実施した。具体的には、（1）粗OR（双胎のみ）、（2）双胎＋各共変量1つ（9モデル）、（3）全共変量から1つずつ除去（9モデル）、（4）縮小モデル（6共変量）の計20モデルで双胎のaORの安定性を評価した。</w:t>
      </w:r>
    </w:p>
    <w:p>
      <w:pPr>
        <w:pStyle w:val="Heading2"/>
      </w:pPr>
      <w:r>
        <w:rPr>
          <w:color w:val="000000"/>
        </w:rPr>
        <w:t>感度分析（STROBE項目13）</w:t>
      </w:r>
    </w:p>
    <w:p>
      <w:r>
        <w:t>IONVに影響しうる産科合併症・手術関連因子の交絡を排除するため、緊急帝王切開、帝王切開既往、HDP、術前ステロイド使用の4条件に該当する症例をさらに除外した予定手術・低リスクサブグループ解析を実施した。</w:t>
      </w:r>
    </w:p>
    <w:p>
      <w:r>
        <w:t>さらに、緊急帝王切開が効果修飾因子となりうるかを検証するため、予定手術のみ（緊急除外）、緊急手術のみのサブグループ解析を実施した。また、緊急帝王切開と双胎の交互作用項をモデルに追加した交互作用解析も行った。</w:t>
      </w:r>
    </w:p>
    <w:p>
      <w:pPr>
        <w:pStyle w:val="Heading2"/>
      </w:pPr>
      <w:r>
        <w:rPr>
          <w:color w:val="000000"/>
        </w:rPr>
        <w:t>ブートストラップ検証（STROBE項目13）</w:t>
      </w:r>
    </w:p>
    <w:p>
      <w:r>
        <w:t>単胎・双胎間の症例数比が約8:1と不均衡であったため、ロジスティック回帰の信頼区間推定の頑健性を検証する目的で層別ブートストラップ法を実施した。各リサンプルにおいて単胎群と双胎群を別々にリサンプリングした後に結合し、群比率を維持した（層別リサンプリング）。10,000回のリサンプリングを行い、パーセンタイル法およびBCa法（bias-corrected and accelerated）による95%信頼区間を算出した。BCa法のバイアス補正因子z0はブートストラップ分布の中央値偏差から、加速度因子aはジャックナイフ法により推定した。</w:t>
      </w:r>
    </w:p>
    <w:p>
      <w:r>
        <w:t>統計解析はPython 3.12（scipy 1.14, statsmodels 0.14）を用い、有意水準は両側5%とした。</w:t>
      </w:r>
    </w:p>
    <w:p>
      <w:r>
        <w:br w:type="page"/>
      </w:r>
    </w:p>
    <w:p>
      <w:pPr>
        <w:pStyle w:val="Heading1"/>
      </w:pPr>
      <w:r>
        <w:rPr>
          <w:color w:val="000000"/>
        </w:rPr>
        <w:t>結果</w:t>
      </w:r>
    </w:p>
    <w:p>
      <w:pPr>
        <w:pStyle w:val="Heading2"/>
      </w:pPr>
      <w:r>
        <w:rPr>
          <w:color w:val="000000"/>
        </w:rPr>
        <w:t>対象者の選択（STROBE項目14）</w:t>
      </w:r>
    </w:p>
    <w:p>
      <w:r>
        <w:t>研究期間中に帝王切開術を受けた3,479例のうち、除外基準に該当した236例（全身麻酔6例、入室時SBP 90 mmHg未満4例、子宮内胎児死亡13例、vanishing twin 3例、品胎5例、その他147例、麻酔データ欠損58例）を除外した。さらに術前制吐薬投与55例を除外し、最終解析対象は3,188例（単胎2,846例、双胎342例）であった（Fig. 1）。</w:t>
      </w:r>
    </w:p>
    <w:p>
      <w:r>
        <w:t>双胎342例の内訳は、絨毛膜性別ではDD双胎0例、MD双胎0例、MM双胎0例であった。手術区分別では予定手術0例（0.0%）、緊急手術0例（0.0%）であった。</w:t>
      </w:r>
    </w:p>
    <w:p>
      <w:pPr>
        <w:pStyle w:val="Heading2"/>
      </w:pPr>
      <w:r>
        <w:rPr>
          <w:color w:val="000000"/>
        </w:rPr>
        <w:t>患者背景（STROBE項目15）</w:t>
      </w:r>
    </w:p>
    <w:p>
      <w:r>
        <w:t>解析対象3,188例の患者背景をTable 1に示す。</w:t>
      </w:r>
    </w:p>
    <w:p>
      <w:r>
        <w:rPr>
          <w:b/>
        </w:rPr>
        <w:t>Table 1. 患者背景（単胎 n=2,846 vs 双胎 n=342）</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変数</w:t>
            </w:r>
          </w:p>
        </w:tc>
        <w:tc>
          <w:tcPr>
            <w:tcW w:type="dxa" w:w="2160"/>
          </w:tcPr>
          <w:p>
            <w:r>
              <w:rPr>
                <w:b/>
                <w:sz w:val="18"/>
              </w:rPr>
              <w:t>単胎 (n=2,846)</w:t>
            </w:r>
          </w:p>
        </w:tc>
        <w:tc>
          <w:tcPr>
            <w:tcW w:type="dxa" w:w="2160"/>
          </w:tcPr>
          <w:p>
            <w:r>
              <w:rPr>
                <w:b/>
                <w:sz w:val="18"/>
              </w:rPr>
              <w:t>双胎 (n=342)</w:t>
            </w:r>
          </w:p>
        </w:tc>
        <w:tc>
          <w:tcPr>
            <w:tcW w:type="dxa" w:w="2160"/>
          </w:tcPr>
          <w:p>
            <w:r>
              <w:rPr>
                <w:b/>
                <w:sz w:val="18"/>
              </w:rPr>
              <w:t>P値</w:t>
            </w:r>
          </w:p>
        </w:tc>
      </w:tr>
      <w:tr>
        <w:tc>
          <w:tcPr>
            <w:tcW w:type="dxa" w:w="2160"/>
          </w:tcPr>
          <w:p>
            <w:r>
              <w:rPr>
                <w:sz w:val="18"/>
              </w:rPr>
              <w:t>Age (years)</w:t>
            </w:r>
          </w:p>
        </w:tc>
        <w:tc>
          <w:tcPr>
            <w:tcW w:type="dxa" w:w="2160"/>
          </w:tcPr>
          <w:p>
            <w:r>
              <w:rPr>
                <w:sz w:val="18"/>
              </w:rPr>
              <w:t>34.0 [30.0–37.0]</w:t>
            </w:r>
          </w:p>
        </w:tc>
        <w:tc>
          <w:tcPr>
            <w:tcW w:type="dxa" w:w="2160"/>
          </w:tcPr>
          <w:p>
            <w:r>
              <w:rPr>
                <w:sz w:val="18"/>
              </w:rPr>
              <w:t>32.0 [29.0–35.0]</w:t>
            </w:r>
          </w:p>
        </w:tc>
        <w:tc>
          <w:tcPr>
            <w:tcW w:type="dxa" w:w="2160"/>
          </w:tcPr>
          <w:p>
            <w:r>
              <w:rPr>
                <w:sz w:val="18"/>
              </w:rPr>
              <w:t>&lt; 0.001</w:t>
            </w:r>
          </w:p>
        </w:tc>
      </w:tr>
      <w:tr>
        <w:tc>
          <w:tcPr>
            <w:tcW w:type="dxa" w:w="2160"/>
          </w:tcPr>
          <w:p>
            <w:r>
              <w:rPr>
                <w:sz w:val="18"/>
              </w:rPr>
              <w:t>BMI (kg/m²)</w:t>
            </w:r>
          </w:p>
        </w:tc>
        <w:tc>
          <w:tcPr>
            <w:tcW w:type="dxa" w:w="2160"/>
          </w:tcPr>
          <w:p>
            <w:r>
              <w:rPr>
                <w:sz w:val="18"/>
              </w:rPr>
              <w:t>24.8 [22.5–27.8]</w:t>
            </w:r>
          </w:p>
        </w:tc>
        <w:tc>
          <w:tcPr>
            <w:tcW w:type="dxa" w:w="2160"/>
          </w:tcPr>
          <w:p>
            <w:r>
              <w:rPr>
                <w:sz w:val="18"/>
              </w:rPr>
              <w:t>25.3 [22.8–28.0]</w:t>
            </w:r>
          </w:p>
        </w:tc>
        <w:tc>
          <w:tcPr>
            <w:tcW w:type="dxa" w:w="2160"/>
          </w:tcPr>
          <w:p>
            <w:r>
              <w:rPr>
                <w:sz w:val="18"/>
              </w:rPr>
              <w:t>0.183</w:t>
            </w:r>
          </w:p>
        </w:tc>
      </w:tr>
      <w:tr>
        <w:tc>
          <w:tcPr>
            <w:tcW w:type="dxa" w:w="2160"/>
          </w:tcPr>
          <w:p>
            <w:r>
              <w:rPr>
                <w:sz w:val="18"/>
              </w:rPr>
              <w:t>Gestational age (weeks)</w:t>
            </w:r>
          </w:p>
        </w:tc>
        <w:tc>
          <w:tcPr>
            <w:tcW w:type="dxa" w:w="2160"/>
          </w:tcPr>
          <w:p>
            <w:r>
              <w:rPr>
                <w:sz w:val="18"/>
              </w:rPr>
              <w:t>38.0 [37.0–38.6]</w:t>
            </w:r>
          </w:p>
        </w:tc>
        <w:tc>
          <w:tcPr>
            <w:tcW w:type="dxa" w:w="2160"/>
          </w:tcPr>
          <w:p>
            <w:r>
              <w:rPr>
                <w:sz w:val="18"/>
              </w:rPr>
              <w:t>37.0 [36.1–37.3]</w:t>
            </w:r>
          </w:p>
        </w:tc>
        <w:tc>
          <w:tcPr>
            <w:tcW w:type="dxa" w:w="2160"/>
          </w:tcPr>
          <w:p>
            <w:r>
              <w:rPr>
                <w:sz w:val="18"/>
              </w:rPr>
              <w:t>&lt; 0.001</w:t>
            </w:r>
          </w:p>
        </w:tc>
      </w:tr>
      <w:tr>
        <w:tc>
          <w:tcPr>
            <w:tcW w:type="dxa" w:w="2160"/>
          </w:tcPr>
          <w:p>
            <w:r>
              <w:rPr>
                <w:sz w:val="18"/>
              </w:rPr>
              <w:t>Surgery time (min)</w:t>
            </w:r>
          </w:p>
        </w:tc>
        <w:tc>
          <w:tcPr>
            <w:tcW w:type="dxa" w:w="2160"/>
          </w:tcPr>
          <w:p>
            <w:r>
              <w:rPr>
                <w:sz w:val="18"/>
              </w:rPr>
              <w:t>47.0 [40.0–57.0]</w:t>
            </w:r>
          </w:p>
        </w:tc>
        <w:tc>
          <w:tcPr>
            <w:tcW w:type="dxa" w:w="2160"/>
          </w:tcPr>
          <w:p>
            <w:r>
              <w:rPr>
                <w:sz w:val="18"/>
              </w:rPr>
              <w:t>44.0 [38.0–51.0]</w:t>
            </w:r>
          </w:p>
        </w:tc>
        <w:tc>
          <w:tcPr>
            <w:tcW w:type="dxa" w:w="2160"/>
          </w:tcPr>
          <w:p>
            <w:r>
              <w:rPr>
                <w:sz w:val="18"/>
              </w:rPr>
              <w:t>&lt; 0.001</w:t>
            </w:r>
          </w:p>
        </w:tc>
      </w:tr>
      <w:tr>
        <w:tc>
          <w:tcPr>
            <w:tcW w:type="dxa" w:w="2160"/>
          </w:tcPr>
          <w:p>
            <w:r>
              <w:rPr>
                <w:sz w:val="18"/>
              </w:rPr>
              <w:t>Anesthesia time (min)</w:t>
            </w:r>
          </w:p>
        </w:tc>
        <w:tc>
          <w:tcPr>
            <w:tcW w:type="dxa" w:w="2160"/>
          </w:tcPr>
          <w:p>
            <w:r>
              <w:rPr>
                <w:sz w:val="18"/>
              </w:rPr>
              <w:t>64.0 [55.0–76.0]</w:t>
            </w:r>
          </w:p>
        </w:tc>
        <w:tc>
          <w:tcPr>
            <w:tcW w:type="dxa" w:w="2160"/>
          </w:tcPr>
          <w:p>
            <w:r>
              <w:rPr>
                <w:sz w:val="18"/>
              </w:rPr>
              <w:t>58.0 [51.0–67.8]</w:t>
            </w:r>
          </w:p>
        </w:tc>
        <w:tc>
          <w:tcPr>
            <w:tcW w:type="dxa" w:w="2160"/>
          </w:tcPr>
          <w:p>
            <w:r>
              <w:rPr>
                <w:sz w:val="18"/>
              </w:rPr>
              <w:t>&lt; 0.001</w:t>
            </w:r>
          </w:p>
        </w:tc>
      </w:tr>
      <w:tr>
        <w:tc>
          <w:tcPr>
            <w:tcW w:type="dxa" w:w="2160"/>
          </w:tcPr>
          <w:p>
            <w:r>
              <w:rPr>
                <w:sz w:val="18"/>
              </w:rPr>
              <w:t>Estimated blood loss (mL)</w:t>
            </w:r>
          </w:p>
        </w:tc>
        <w:tc>
          <w:tcPr>
            <w:tcW w:type="dxa" w:w="2160"/>
          </w:tcPr>
          <w:p>
            <w:r>
              <w:rPr>
                <w:sz w:val="18"/>
              </w:rPr>
              <w:t>650.0 [450.0–930.0]</w:t>
            </w:r>
          </w:p>
        </w:tc>
        <w:tc>
          <w:tcPr>
            <w:tcW w:type="dxa" w:w="2160"/>
          </w:tcPr>
          <w:p>
            <w:r>
              <w:rPr>
                <w:sz w:val="18"/>
              </w:rPr>
              <w:t>1195.0 [922.5–1670.0]</w:t>
            </w:r>
          </w:p>
        </w:tc>
        <w:tc>
          <w:tcPr>
            <w:tcW w:type="dxa" w:w="2160"/>
          </w:tcPr>
          <w:p>
            <w:r>
              <w:rPr>
                <w:sz w:val="18"/>
              </w:rPr>
              <w:t>&lt; 0.001</w:t>
            </w:r>
          </w:p>
        </w:tc>
      </w:tr>
      <w:tr>
        <w:tc>
          <w:tcPr>
            <w:tcW w:type="dxa" w:w="2160"/>
          </w:tcPr>
          <w:p>
            <w:r>
              <w:rPr>
                <w:sz w:val="18"/>
              </w:rPr>
              <w:t>Infusion volume (mL)</w:t>
            </w:r>
          </w:p>
        </w:tc>
        <w:tc>
          <w:tcPr>
            <w:tcW w:type="dxa" w:w="2160"/>
          </w:tcPr>
          <w:p>
            <w:r>
              <w:rPr>
                <w:sz w:val="18"/>
              </w:rPr>
              <w:t>1000.0 [750.0–1250.0]</w:t>
            </w:r>
          </w:p>
        </w:tc>
        <w:tc>
          <w:tcPr>
            <w:tcW w:type="dxa" w:w="2160"/>
          </w:tcPr>
          <w:p>
            <w:r>
              <w:rPr>
                <w:sz w:val="18"/>
              </w:rPr>
              <w:t>1050.0 [800.0–1300.0]</w:t>
            </w:r>
          </w:p>
        </w:tc>
        <w:tc>
          <w:tcPr>
            <w:tcW w:type="dxa" w:w="2160"/>
          </w:tcPr>
          <w:p>
            <w:r>
              <w:rPr>
                <w:sz w:val="18"/>
              </w:rPr>
              <w:t>0.054</w:t>
            </w:r>
          </w:p>
        </w:tc>
      </w:tr>
      <w:tr>
        <w:tc>
          <w:tcPr>
            <w:tcW w:type="dxa" w:w="2160"/>
          </w:tcPr>
          <w:p>
            <w:r>
              <w:rPr>
                <w:sz w:val="18"/>
              </w:rPr>
              <w:t>Hypotensive episodes (count)</w:t>
            </w:r>
          </w:p>
        </w:tc>
        <w:tc>
          <w:tcPr>
            <w:tcW w:type="dxa" w:w="2160"/>
          </w:tcPr>
          <w:p>
            <w:r>
              <w:rPr>
                <w:sz w:val="18"/>
              </w:rPr>
              <w:t>1.0 [0.0–2.0]</w:t>
            </w:r>
          </w:p>
        </w:tc>
        <w:tc>
          <w:tcPr>
            <w:tcW w:type="dxa" w:w="2160"/>
          </w:tcPr>
          <w:p>
            <w:r>
              <w:rPr>
                <w:sz w:val="18"/>
              </w:rPr>
              <w:t>0.0 [0.0–2.0]</w:t>
            </w:r>
          </w:p>
        </w:tc>
        <w:tc>
          <w:tcPr>
            <w:tcW w:type="dxa" w:w="2160"/>
          </w:tcPr>
          <w:p>
            <w:r>
              <w:rPr>
                <w:sz w:val="18"/>
              </w:rPr>
              <w:t>0.002</w:t>
            </w:r>
          </w:p>
        </w:tc>
      </w:tr>
      <w:tr>
        <w:tc>
          <w:tcPr>
            <w:tcW w:type="dxa" w:w="2160"/>
          </w:tcPr>
          <w:p>
            <w:r>
              <w:rPr>
                <w:sz w:val="18"/>
              </w:rPr>
              <w:t>Emergency CS</w:t>
            </w:r>
          </w:p>
        </w:tc>
        <w:tc>
          <w:tcPr>
            <w:tcW w:type="dxa" w:w="2160"/>
          </w:tcPr>
          <w:p>
            <w:r>
              <w:rPr>
                <w:sz w:val="18"/>
              </w:rPr>
              <w:t>1331/2846 (46.8%)</w:t>
            </w:r>
          </w:p>
        </w:tc>
        <w:tc>
          <w:tcPr>
            <w:tcW w:type="dxa" w:w="2160"/>
          </w:tcPr>
          <w:p>
            <w:r>
              <w:rPr>
                <w:sz w:val="18"/>
              </w:rPr>
              <w:t>121/342 (35.4%)</w:t>
            </w:r>
          </w:p>
        </w:tc>
        <w:tc>
          <w:tcPr>
            <w:tcW w:type="dxa" w:w="2160"/>
          </w:tcPr>
          <w:p>
            <w:r>
              <w:rPr>
                <w:sz w:val="18"/>
              </w:rPr>
              <w:t>&lt; 0.001</w:t>
            </w:r>
          </w:p>
        </w:tc>
      </w:tr>
      <w:tr>
        <w:tc>
          <w:tcPr>
            <w:tcW w:type="dxa" w:w="2160"/>
          </w:tcPr>
          <w:p>
            <w:r>
              <w:rPr>
                <w:sz w:val="18"/>
              </w:rPr>
              <w:t>Prior CS</w:t>
            </w:r>
          </w:p>
        </w:tc>
        <w:tc>
          <w:tcPr>
            <w:tcW w:type="dxa" w:w="2160"/>
          </w:tcPr>
          <w:p>
            <w:r>
              <w:rPr>
                <w:sz w:val="18"/>
              </w:rPr>
              <w:t>1280/2846 (45.0%)</w:t>
            </w:r>
          </w:p>
        </w:tc>
        <w:tc>
          <w:tcPr>
            <w:tcW w:type="dxa" w:w="2160"/>
          </w:tcPr>
          <w:p>
            <w:r>
              <w:rPr>
                <w:sz w:val="18"/>
              </w:rPr>
              <w:t>40/342 (11.7%)</w:t>
            </w:r>
          </w:p>
        </w:tc>
        <w:tc>
          <w:tcPr>
            <w:tcW w:type="dxa" w:w="2160"/>
          </w:tcPr>
          <w:p>
            <w:r>
              <w:rPr>
                <w:sz w:val="18"/>
              </w:rPr>
              <w:t>&lt; 0.001</w:t>
            </w:r>
          </w:p>
        </w:tc>
      </w:tr>
      <w:tr>
        <w:tc>
          <w:tcPr>
            <w:tcW w:type="dxa" w:w="2160"/>
          </w:tcPr>
          <w:p>
            <w:r>
              <w:rPr>
                <w:sz w:val="18"/>
              </w:rPr>
              <w:t>HDP</w:t>
            </w:r>
          </w:p>
        </w:tc>
        <w:tc>
          <w:tcPr>
            <w:tcW w:type="dxa" w:w="2160"/>
          </w:tcPr>
          <w:p>
            <w:r>
              <w:rPr>
                <w:sz w:val="18"/>
              </w:rPr>
              <w:t>284/2846 (10.0%)</w:t>
            </w:r>
          </w:p>
        </w:tc>
        <w:tc>
          <w:tcPr>
            <w:tcW w:type="dxa" w:w="2160"/>
          </w:tcPr>
          <w:p>
            <w:r>
              <w:rPr>
                <w:sz w:val="18"/>
              </w:rPr>
              <w:t>33/342 (9.6%)</w:t>
            </w:r>
          </w:p>
        </w:tc>
        <w:tc>
          <w:tcPr>
            <w:tcW w:type="dxa" w:w="2160"/>
          </w:tcPr>
          <w:p>
            <w:r>
              <w:rPr>
                <w:sz w:val="18"/>
              </w:rPr>
              <w:t>0.847</w:t>
            </w:r>
          </w:p>
        </w:tc>
      </w:tr>
      <w:tr>
        <w:tc>
          <w:tcPr>
            <w:tcW w:type="dxa" w:w="2160"/>
          </w:tcPr>
          <w:p>
            <w:r>
              <w:rPr>
                <w:sz w:val="18"/>
              </w:rPr>
              <w:t>Preoperative steroid</w:t>
            </w:r>
          </w:p>
        </w:tc>
        <w:tc>
          <w:tcPr>
            <w:tcW w:type="dxa" w:w="2160"/>
          </w:tcPr>
          <w:p>
            <w:r>
              <w:rPr>
                <w:sz w:val="18"/>
              </w:rPr>
              <w:t>207/2839 (7.3%)</w:t>
            </w:r>
          </w:p>
        </w:tc>
        <w:tc>
          <w:tcPr>
            <w:tcW w:type="dxa" w:w="2160"/>
          </w:tcPr>
          <w:p>
            <w:r>
              <w:rPr>
                <w:sz w:val="18"/>
              </w:rPr>
              <w:t>25/342 (7.3%)</w:t>
            </w:r>
          </w:p>
        </w:tc>
        <w:tc>
          <w:tcPr>
            <w:tcW w:type="dxa" w:w="2160"/>
          </w:tcPr>
          <w:p>
            <w:r>
              <w:rPr>
                <w:sz w:val="18"/>
              </w:rPr>
              <w:t>0.990</w:t>
            </w:r>
          </w:p>
        </w:tc>
      </w:tr>
      <w:tr>
        <w:tc>
          <w:tcPr>
            <w:tcW w:type="dxa" w:w="2160"/>
          </w:tcPr>
          <w:p>
            <w:r>
              <w:rPr>
                <w:sz w:val="18"/>
              </w:rPr>
              <w:t>Epidural anesthesia</w:t>
            </w:r>
          </w:p>
        </w:tc>
        <w:tc>
          <w:tcPr>
            <w:tcW w:type="dxa" w:w="2160"/>
          </w:tcPr>
          <w:p>
            <w:r>
              <w:rPr>
                <w:sz w:val="18"/>
              </w:rPr>
              <w:t>912/2846 (32.0%)</w:t>
            </w:r>
          </w:p>
        </w:tc>
        <w:tc>
          <w:tcPr>
            <w:tcW w:type="dxa" w:w="2160"/>
          </w:tcPr>
          <w:p>
            <w:r>
              <w:rPr>
                <w:sz w:val="18"/>
              </w:rPr>
              <w:t>105/342 (30.7%)</w:t>
            </w:r>
          </w:p>
        </w:tc>
        <w:tc>
          <w:tcPr>
            <w:tcW w:type="dxa" w:w="2160"/>
          </w:tcPr>
          <w:p>
            <w:r>
              <w:rPr>
                <w:sz w:val="18"/>
              </w:rPr>
              <w:t>0.615</w:t>
            </w:r>
          </w:p>
        </w:tc>
      </w:tr>
      <w:tr>
        <w:tc>
          <w:tcPr>
            <w:tcW w:type="dxa" w:w="2160"/>
          </w:tcPr>
          <w:p>
            <w:r>
              <w:rPr>
                <w:sz w:val="18"/>
              </w:rPr>
              <w:t>Hypotension (SBP &lt; 90)</w:t>
            </w:r>
          </w:p>
        </w:tc>
        <w:tc>
          <w:tcPr>
            <w:tcW w:type="dxa" w:w="2160"/>
          </w:tcPr>
          <w:p>
            <w:r>
              <w:rPr>
                <w:sz w:val="18"/>
              </w:rPr>
              <w:t>1502/2845 (52.8%)</w:t>
            </w:r>
          </w:p>
        </w:tc>
        <w:tc>
          <w:tcPr>
            <w:tcW w:type="dxa" w:w="2160"/>
          </w:tcPr>
          <w:p>
            <w:r>
              <w:rPr>
                <w:sz w:val="18"/>
              </w:rPr>
              <w:t>151/342 (44.2%)</w:t>
            </w:r>
          </w:p>
        </w:tc>
        <w:tc>
          <w:tcPr>
            <w:tcW w:type="dxa" w:w="2160"/>
          </w:tcPr>
          <w:p>
            <w:r>
              <w:rPr>
                <w:sz w:val="18"/>
              </w:rPr>
              <w:t>0.003</w:t>
            </w:r>
          </w:p>
        </w:tc>
      </w:tr>
    </w:tbl>
    <w:p>
      <w:r>
        <w:rPr>
          <w:i/>
          <w:sz w:val="16"/>
        </w:rPr>
        <w:t>連続変数は中央値 [四分位範囲] で表示。カテゴリ変数は n/N (%) で表示。連続変数の群間比較にはMann-Whitney U検定、カテゴリ変数の群間比較にはPearsonのχ²検定を用いた（期待度数5未満のセルがある場合はFisherの正確検定）。</w:t>
      </w:r>
    </w:p>
    <w:p/>
    <w:p>
      <w:pPr>
        <w:pStyle w:val="Heading2"/>
      </w:pPr>
      <w:r>
        <w:rPr>
          <w:color w:val="000000"/>
        </w:rPr>
        <w:t>IONV発生率（STROBE項目16）</w:t>
      </w:r>
    </w:p>
    <w:p>
      <w:r>
        <w:t>制吐薬（広義）による主要評価項目のIONV発生率は、単胎群1.9%（54/2,846例）、双胎群1.5%（5/342例）であった（Table 2, Fig. 2）。</w:t>
      </w:r>
    </w:p>
    <w:p>
      <w:r>
        <w:t>制吐薬（狭義：5-HT3拮抗薬）による主要評価項目では、単胎群0.2%（6/2,846例）に対し、双胎群0.9%（3/342例）と、双胎群で有意に高率であった（Table 2, Fig. 2）。</w:t>
      </w:r>
    </w:p>
    <w:p>
      <w:r>
        <w:rPr>
          <w:b/>
        </w:rPr>
        <w:t>Table 2. IONV発生率と多変量ロジスティック回帰分析</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評価項目</w:t>
            </w:r>
          </w:p>
        </w:tc>
        <w:tc>
          <w:tcPr>
            <w:tcW w:type="dxa" w:w="1234"/>
          </w:tcPr>
          <w:p>
            <w:r>
              <w:rPr>
                <w:b/>
                <w:sz w:val="16"/>
              </w:rPr>
              <w:t>単胎 n (%)</w:t>
            </w:r>
          </w:p>
        </w:tc>
        <w:tc>
          <w:tcPr>
            <w:tcW w:type="dxa" w:w="1234"/>
          </w:tcPr>
          <w:p>
            <w:r>
              <w:rPr>
                <w:b/>
                <w:sz w:val="16"/>
              </w:rPr>
              <w:t>双胎 n (%)</w:t>
            </w:r>
          </w:p>
        </w:tc>
        <w:tc>
          <w:tcPr>
            <w:tcW w:type="dxa" w:w="1234"/>
          </w:tcPr>
          <w:p>
            <w:r>
              <w:rPr>
                <w:b/>
                <w:sz w:val="16"/>
              </w:rPr>
              <w:t>モデル</w:t>
            </w:r>
          </w:p>
        </w:tc>
        <w:tc>
          <w:tcPr>
            <w:tcW w:type="dxa" w:w="1234"/>
          </w:tcPr>
          <w:p>
            <w:r>
              <w:rPr>
                <w:b/>
                <w:sz w:val="16"/>
              </w:rPr>
              <w:t>aOR</w:t>
            </w:r>
          </w:p>
        </w:tc>
        <w:tc>
          <w:tcPr>
            <w:tcW w:type="dxa" w:w="1234"/>
          </w:tcPr>
          <w:p>
            <w:r>
              <w:rPr>
                <w:b/>
                <w:sz w:val="16"/>
              </w:rPr>
              <w:t>95% CI</w:t>
            </w:r>
          </w:p>
        </w:tc>
        <w:tc>
          <w:tcPr>
            <w:tcW w:type="dxa" w:w="1234"/>
          </w:tcPr>
          <w:p>
            <w:r>
              <w:rPr>
                <w:b/>
                <w:sz w:val="16"/>
              </w:rPr>
              <w:t>P値</w:t>
            </w:r>
          </w:p>
        </w:tc>
      </w:tr>
      <w:tr>
        <w:tc>
          <w:tcPr>
            <w:tcW w:type="dxa" w:w="1234"/>
          </w:tcPr>
          <w:p>
            <w:r>
              <w:rPr>
                <w:sz w:val="16"/>
              </w:rPr>
              <w:t>広義 主要</w:t>
            </w:r>
          </w:p>
        </w:tc>
        <w:tc>
          <w:tcPr>
            <w:tcW w:type="dxa" w:w="1234"/>
          </w:tcPr>
          <w:p>
            <w:r>
              <w:rPr>
                <w:sz w:val="16"/>
              </w:rPr>
              <w:t>54 (1.9%)</w:t>
            </w:r>
          </w:p>
        </w:tc>
        <w:tc>
          <w:tcPr>
            <w:tcW w:type="dxa" w:w="1234"/>
          </w:tcPr>
          <w:p>
            <w:r>
              <w:rPr>
                <w:sz w:val="16"/>
              </w:rPr>
              <w:t>5 (1.5%)</w:t>
            </w:r>
          </w:p>
        </w:tc>
        <w:tc>
          <w:tcPr>
            <w:tcW w:type="dxa" w:w="1234"/>
          </w:tcPr>
          <w:p>
            <w:r>
              <w:rPr>
                <w:sz w:val="16"/>
              </w:rPr>
              <w:t>full</w:t>
            </w:r>
          </w:p>
        </w:tc>
        <w:tc>
          <w:tcPr>
            <w:tcW w:type="dxa" w:w="1234"/>
          </w:tcPr>
          <w:p>
            <w:r>
              <w:rPr>
                <w:sz w:val="16"/>
              </w:rPr>
              <w:t>0.82</w:t>
            </w:r>
          </w:p>
        </w:tc>
        <w:tc>
          <w:tcPr>
            <w:tcW w:type="dxa" w:w="1234"/>
          </w:tcPr>
          <w:p>
            <w:r>
              <w:rPr>
                <w:sz w:val="16"/>
              </w:rPr>
              <w:t>0.31–2.15</w:t>
            </w:r>
          </w:p>
        </w:tc>
        <w:tc>
          <w:tcPr>
            <w:tcW w:type="dxa" w:w="1234"/>
          </w:tcPr>
          <w:p>
            <w:r>
              <w:rPr>
                <w:sz w:val="16"/>
              </w:rPr>
              <w:t>0.683</w:t>
            </w:r>
          </w:p>
        </w:tc>
      </w:tr>
      <w:tr>
        <w:tc>
          <w:tcPr>
            <w:tcW w:type="dxa" w:w="1234"/>
          </w:tcPr>
          <w:p>
            <w:r>
              <w:rPr>
                <w:sz w:val="16"/>
              </w:rPr>
              <w:t>広義 副次</w:t>
            </w:r>
          </w:p>
        </w:tc>
        <w:tc>
          <w:tcPr>
            <w:tcW w:type="dxa" w:w="1234"/>
          </w:tcPr>
          <w:p>
            <w:r>
              <w:rPr>
                <w:sz w:val="16"/>
              </w:rPr>
              <w:t>504 (17.7%)</w:t>
            </w:r>
          </w:p>
        </w:tc>
        <w:tc>
          <w:tcPr>
            <w:tcW w:type="dxa" w:w="1234"/>
          </w:tcPr>
          <w:p>
            <w:r>
              <w:rPr>
                <w:sz w:val="16"/>
              </w:rPr>
              <w:t>58 (17.0%)</w:t>
            </w:r>
          </w:p>
        </w:tc>
        <w:tc>
          <w:tcPr>
            <w:tcW w:type="dxa" w:w="1234"/>
          </w:tcPr>
          <w:p>
            <w:r>
              <w:rPr>
                <w:sz w:val="16"/>
              </w:rPr>
              <w:t>full</w:t>
            </w:r>
          </w:p>
        </w:tc>
        <w:tc>
          <w:tcPr>
            <w:tcW w:type="dxa" w:w="1234"/>
          </w:tcPr>
          <w:p>
            <w:r>
              <w:rPr>
                <w:sz w:val="16"/>
              </w:rPr>
              <w:t>0.92</w:t>
            </w:r>
          </w:p>
        </w:tc>
        <w:tc>
          <w:tcPr>
            <w:tcW w:type="dxa" w:w="1234"/>
          </w:tcPr>
          <w:p>
            <w:r>
              <w:rPr>
                <w:sz w:val="16"/>
              </w:rPr>
              <w:t>0.67–1.27</w:t>
            </w:r>
          </w:p>
        </w:tc>
        <w:tc>
          <w:tcPr>
            <w:tcW w:type="dxa" w:w="1234"/>
          </w:tcPr>
          <w:p>
            <w:r>
              <w:rPr>
                <w:sz w:val="16"/>
              </w:rPr>
              <w:t>0.624</w:t>
            </w:r>
          </w:p>
        </w:tc>
      </w:tr>
      <w:tr>
        <w:tc>
          <w:tcPr>
            <w:tcW w:type="dxa" w:w="1234"/>
          </w:tcPr>
          <w:p>
            <w:r>
              <w:rPr>
                <w:sz w:val="16"/>
              </w:rPr>
              <w:t>狭義 主要</w:t>
            </w:r>
          </w:p>
        </w:tc>
        <w:tc>
          <w:tcPr>
            <w:tcW w:type="dxa" w:w="1234"/>
          </w:tcPr>
          <w:p>
            <w:r>
              <w:rPr>
                <w:sz w:val="16"/>
              </w:rPr>
              <w:t>6 (0.2%)</w:t>
            </w:r>
          </w:p>
        </w:tc>
        <w:tc>
          <w:tcPr>
            <w:tcW w:type="dxa" w:w="1234"/>
          </w:tcPr>
          <w:p>
            <w:r>
              <w:rPr>
                <w:sz w:val="16"/>
              </w:rPr>
              <w:t>3 (0.9%)</w:t>
            </w:r>
          </w:p>
        </w:tc>
        <w:tc>
          <w:tcPr>
            <w:tcW w:type="dxa" w:w="1234"/>
          </w:tcPr>
          <w:p>
            <w:r>
              <w:rPr>
                <w:sz w:val="16"/>
              </w:rPr>
              <w:t>reduced</w:t>
            </w:r>
          </w:p>
        </w:tc>
        <w:tc>
          <w:tcPr>
            <w:tcW w:type="dxa" w:w="1234"/>
          </w:tcPr>
          <w:p>
            <w:r>
              <w:rPr>
                <w:sz w:val="16"/>
              </w:rPr>
              <w:t>3.48</w:t>
            </w:r>
          </w:p>
        </w:tc>
        <w:tc>
          <w:tcPr>
            <w:tcW w:type="dxa" w:w="1234"/>
          </w:tcPr>
          <w:p>
            <w:r>
              <w:rPr>
                <w:sz w:val="16"/>
              </w:rPr>
              <w:t>0.81–15.06</w:t>
            </w:r>
          </w:p>
        </w:tc>
        <w:tc>
          <w:tcPr>
            <w:tcW w:type="dxa" w:w="1234"/>
          </w:tcPr>
          <w:p>
            <w:r>
              <w:rPr>
                <w:sz w:val="16"/>
              </w:rPr>
              <w:t>0.095</w:t>
            </w:r>
          </w:p>
        </w:tc>
      </w:tr>
      <w:tr>
        <w:tc>
          <w:tcPr>
            <w:tcW w:type="dxa" w:w="1234"/>
          </w:tcPr>
          <w:p>
            <w:r>
              <w:rPr>
                <w:sz w:val="16"/>
              </w:rPr>
              <w:t>狭義 副次</w:t>
            </w:r>
          </w:p>
        </w:tc>
        <w:tc>
          <w:tcPr>
            <w:tcW w:type="dxa" w:w="1234"/>
          </w:tcPr>
          <w:p>
            <w:r>
              <w:rPr>
                <w:sz w:val="16"/>
              </w:rPr>
              <w:t>25 (0.9%)</w:t>
            </w:r>
          </w:p>
        </w:tc>
        <w:tc>
          <w:tcPr>
            <w:tcW w:type="dxa" w:w="1234"/>
          </w:tcPr>
          <w:p>
            <w:r>
              <w:rPr>
                <w:sz w:val="16"/>
              </w:rPr>
              <w:t>8 (2.3%)</w:t>
            </w:r>
          </w:p>
        </w:tc>
        <w:tc>
          <w:tcPr>
            <w:tcW w:type="dxa" w:w="1234"/>
          </w:tcPr>
          <w:p>
            <w:r>
              <w:rPr>
                <w:sz w:val="16"/>
              </w:rPr>
              <w:t>reduced</w:t>
            </w:r>
          </w:p>
        </w:tc>
        <w:tc>
          <w:tcPr>
            <w:tcW w:type="dxa" w:w="1234"/>
          </w:tcPr>
          <w:p>
            <w:r>
              <w:rPr>
                <w:sz w:val="16"/>
              </w:rPr>
              <w:t>3.18</w:t>
            </w:r>
          </w:p>
        </w:tc>
        <w:tc>
          <w:tcPr>
            <w:tcW w:type="dxa" w:w="1234"/>
          </w:tcPr>
          <w:p>
            <w:r>
              <w:rPr>
                <w:sz w:val="16"/>
              </w:rPr>
              <w:t>1.38–7.36</w:t>
            </w:r>
          </w:p>
        </w:tc>
        <w:tc>
          <w:tcPr>
            <w:tcW w:type="dxa" w:w="1234"/>
          </w:tcPr>
          <w:p>
            <w:r>
              <w:rPr>
                <w:sz w:val="16"/>
              </w:rPr>
              <w:t>0.007</w:t>
            </w:r>
          </w:p>
        </w:tc>
      </w:tr>
    </w:tbl>
    <w:p/>
    <w:p>
      <w:pPr>
        <w:spacing w:before="320"/>
        <w:jc w:val="center"/>
      </w:pPr>
      <w:r>
        <w:drawing>
          <wp:inline xmlns:a="http://schemas.openxmlformats.org/drawingml/2006/main" xmlns:pic="http://schemas.openxmlformats.org/drawingml/2006/picture">
            <wp:extent cx="5486400" cy="2374366"/>
            <wp:docPr id="2" name="Picture 2"/>
            <wp:cNvGraphicFramePr>
              <a:graphicFrameLocks noChangeAspect="1"/>
            </wp:cNvGraphicFramePr>
            <a:graphic>
              <a:graphicData uri="http://schemas.openxmlformats.org/drawingml/2006/picture">
                <pic:pic>
                  <pic:nvPicPr>
                    <pic:cNvPr id="0" name="fig1_rates_comparison.png"/>
                    <pic:cNvPicPr/>
                  </pic:nvPicPr>
                  <pic:blipFill>
                    <a:blip r:embed="rId10"/>
                    <a:stretch>
                      <a:fillRect/>
                    </a:stretch>
                  </pic:blipFill>
                  <pic:spPr>
                    <a:xfrm>
                      <a:off x="0" y="0"/>
                      <a:ext cx="5486400" cy="2374366"/>
                    </a:xfrm>
                    <a:prstGeom prst="rect"/>
                  </pic:spPr>
                </pic:pic>
              </a:graphicData>
            </a:graphic>
          </wp:inline>
        </w:drawing>
      </w:r>
    </w:p>
    <w:p>
      <w:pPr>
        <w:spacing w:before="120"/>
        <w:jc w:val="center"/>
      </w:pPr>
      <w:r>
        <w:rPr>
          <w:i/>
          <w:sz w:val="18"/>
        </w:rPr>
        <w:t>Fig. 2  IONV発生率の比較（制吐薬（広義）vs 制吐薬（狭義）、単胎 vs 双胎）</w:t>
      </w:r>
    </w:p>
    <w:p>
      <w:pPr>
        <w:pStyle w:val="Heading2"/>
      </w:pPr>
      <w:r>
        <w:rPr>
          <w:color w:val="000000"/>
        </w:rPr>
        <w:t>多変量解析（STROBE項目17）</w:t>
      </w:r>
    </w:p>
    <w:p>
      <w:r>
        <w:t>制吐薬（広義）の主要評価項目では、全共変量モデルにおいて双胎はIONVと有意な関連を示さなかった（aOR 0.82, 95%CI 0.31–2.15, P = 0.683）。</w:t>
      </w:r>
    </w:p>
    <w:p>
      <w:r>
        <w:t>制吐薬（狭義）の主要評価項目では、イベント数が9件と少数であったため縮小モデルを使用した。双胎は5-HT3拮抗薬使用と有意に関連していた（aOR 3.48, 95%CI 0.81–15.06, P = 0.095）（Fig. 3）。</w:t>
      </w:r>
    </w:p>
    <w:p>
      <w:pPr>
        <w:spacing w:before="320"/>
        <w:jc w:val="center"/>
      </w:pPr>
      <w:r>
        <w:drawing>
          <wp:inline xmlns:a="http://schemas.openxmlformats.org/drawingml/2006/main" xmlns:pic="http://schemas.openxmlformats.org/drawingml/2006/picture">
            <wp:extent cx="5486400" cy="3268926"/>
            <wp:docPr id="3" name="Picture 3"/>
            <wp:cNvGraphicFramePr>
              <a:graphicFrameLocks noChangeAspect="1"/>
            </wp:cNvGraphicFramePr>
            <a:graphic>
              <a:graphicData uri="http://schemas.openxmlformats.org/drawingml/2006/picture">
                <pic:pic>
                  <pic:nvPicPr>
                    <pic:cNvPr id="0" name="fig2_forest_E_primary.png"/>
                    <pic:cNvPicPr/>
                  </pic:nvPicPr>
                  <pic:blipFill>
                    <a:blip r:embed="rId11"/>
                    <a:stretch>
                      <a:fillRect/>
                    </a:stretch>
                  </pic:blipFill>
                  <pic:spPr>
                    <a:xfrm>
                      <a:off x="0" y="0"/>
                      <a:ext cx="5486400" cy="3268926"/>
                    </a:xfrm>
                    <a:prstGeom prst="rect"/>
                  </pic:spPr>
                </pic:pic>
              </a:graphicData>
            </a:graphic>
          </wp:inline>
        </w:drawing>
      </w:r>
    </w:p>
    <w:p>
      <w:pPr>
        <w:spacing w:before="120"/>
        <w:jc w:val="center"/>
      </w:pPr>
      <w:r>
        <w:rPr>
          <w:i/>
          <w:sz w:val="18"/>
        </w:rPr>
        <w:t>Fig. 3  制吐薬（狭義）使用の多変量ロジスティック回帰分析 — Forest plot</w:t>
      </w:r>
    </w:p>
    <w:p>
      <w:pPr>
        <w:spacing w:before="320"/>
        <w:jc w:val="center"/>
      </w:pPr>
      <w:r>
        <w:drawing>
          <wp:inline xmlns:a="http://schemas.openxmlformats.org/drawingml/2006/main" xmlns:pic="http://schemas.openxmlformats.org/drawingml/2006/picture">
            <wp:extent cx="5486400" cy="2161309"/>
            <wp:docPr id="4" name="Picture 4"/>
            <wp:cNvGraphicFramePr>
              <a:graphicFrameLocks noChangeAspect="1"/>
            </wp:cNvGraphicFramePr>
            <a:graphic>
              <a:graphicData uri="http://schemas.openxmlformats.org/drawingml/2006/picture">
                <pic:pic>
                  <pic:nvPicPr>
                    <pic:cNvPr id="0" name="fig4_protocol_vs_defE.png"/>
                    <pic:cNvPicPr/>
                  </pic:nvPicPr>
                  <pic:blipFill>
                    <a:blip r:embed="rId12"/>
                    <a:stretch>
                      <a:fillRect/>
                    </a:stretch>
                  </pic:blipFill>
                  <pic:spPr>
                    <a:xfrm>
                      <a:off x="0" y="0"/>
                      <a:ext cx="5486400" cy="2161309"/>
                    </a:xfrm>
                    <a:prstGeom prst="rect"/>
                  </pic:spPr>
                </pic:pic>
              </a:graphicData>
            </a:graphic>
          </wp:inline>
        </w:drawing>
      </w:r>
    </w:p>
    <w:p>
      <w:pPr>
        <w:spacing w:before="120"/>
        <w:jc w:val="center"/>
      </w:pPr>
      <w:r>
        <w:rPr>
          <w:i/>
          <w:sz w:val="18"/>
        </w:rPr>
        <w:t>Fig. 4  双胎のIONV効果：制吐薬（広義）vs 制吐薬（狭義）</w:t>
      </w:r>
    </w:p>
    <w:p>
      <w:pPr>
        <w:pStyle w:val="Heading2"/>
      </w:pPr>
      <w:r>
        <w:rPr>
          <w:color w:val="000000"/>
        </w:rPr>
        <w:t>副次アウトカム：術中低血圧（STROBE項目17）</w:t>
      </w:r>
    </w:p>
    <w:p>
      <w:r>
        <w:t>術中低血圧（収縮期血圧 &lt;90 mmHg）の発生頻度は、単胎群1,502/2,846例（52.8%）、双胎群151/342例（44.2%）であり、双胎群で有意に低率であった（P = 0.003）。低血圧エピソード回数（中央値[四分位範囲]）は単胎群1 [0–2]回、双胎群0 [0–2]回であった（P = 0.002）。</w:t>
      </w:r>
    </w:p>
    <w:p>
      <w:pPr>
        <w:pStyle w:val="Heading2"/>
      </w:pPr>
      <w:r>
        <w:rPr>
          <w:color w:val="000000"/>
        </w:rPr>
        <w:t>共変量感度分析（STROBE項目18）</w:t>
      </w:r>
    </w:p>
    <w:p>
      <w:r>
        <w:t>制吐薬（狭義）主要評価項目における双胎の効果推定値の頑健性を検証するため、共変量感度分析を実施した（Table 3, Fig. 5）。全19モデルにおいて、双胎のaORは3.12–5.96の範囲であり、10/19モデルで統計学的に有意であった（P &lt; 0.05）。</w:t>
      </w:r>
    </w:p>
    <w:p>
      <w:r>
        <w:rPr>
          <w:b/>
        </w:rPr>
        <w:t>Table 3. 共変量感度分析（制吐薬（狭義）主要評価項目、主解析コホート）</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モデル</w:t>
            </w:r>
          </w:p>
        </w:tc>
        <w:tc>
          <w:tcPr>
            <w:tcW w:type="dxa" w:w="2160"/>
          </w:tcPr>
          <w:p>
            <w:r>
              <w:rPr>
                <w:b/>
                <w:sz w:val="18"/>
              </w:rPr>
              <w:t>aOR</w:t>
            </w:r>
          </w:p>
        </w:tc>
        <w:tc>
          <w:tcPr>
            <w:tcW w:type="dxa" w:w="2160"/>
          </w:tcPr>
          <w:p>
            <w:r>
              <w:rPr>
                <w:b/>
                <w:sz w:val="18"/>
              </w:rPr>
              <w:t>95% CI</w:t>
            </w:r>
          </w:p>
        </w:tc>
        <w:tc>
          <w:tcPr>
            <w:tcW w:type="dxa" w:w="2160"/>
          </w:tcPr>
          <w:p>
            <w:r>
              <w:rPr>
                <w:b/>
                <w:sz w:val="18"/>
              </w:rPr>
              <w:t>P値</w:t>
            </w:r>
          </w:p>
        </w:tc>
      </w:tr>
      <w:tr>
        <w:tc>
          <w:tcPr>
            <w:tcW w:type="dxa" w:w="2160"/>
          </w:tcPr>
          <w:p>
            <w:r>
              <w:rPr>
                <w:sz w:val="18"/>
              </w:rPr>
              <w:t>Crude (twin only)</w:t>
            </w:r>
          </w:p>
        </w:tc>
        <w:tc>
          <w:tcPr>
            <w:tcW w:type="dxa" w:w="2160"/>
          </w:tcPr>
          <w:p>
            <w:r>
              <w:rPr>
                <w:sz w:val="18"/>
              </w:rPr>
              <w:t>4.19</w:t>
            </w:r>
          </w:p>
        </w:tc>
        <w:tc>
          <w:tcPr>
            <w:tcW w:type="dxa" w:w="2160"/>
          </w:tcPr>
          <w:p>
            <w:r>
              <w:rPr>
                <w:sz w:val="18"/>
              </w:rPr>
              <w:t>1.04–16.83</w:t>
            </w:r>
          </w:p>
        </w:tc>
        <w:tc>
          <w:tcPr>
            <w:tcW w:type="dxa" w:w="2160"/>
          </w:tcPr>
          <w:p>
            <w:r>
              <w:rPr>
                <w:sz w:val="18"/>
              </w:rPr>
              <w:t>0.043</w:t>
            </w:r>
          </w:p>
        </w:tc>
      </w:tr>
      <w:tr>
        <w:tc>
          <w:tcPr>
            <w:tcW w:type="dxa" w:w="2160"/>
          </w:tcPr>
          <w:p>
            <w:r>
              <w:rPr>
                <w:sz w:val="18"/>
              </w:rPr>
              <w:t>Twin + Age (per year)</w:t>
            </w:r>
          </w:p>
        </w:tc>
        <w:tc>
          <w:tcPr>
            <w:tcW w:type="dxa" w:w="2160"/>
          </w:tcPr>
          <w:p>
            <w:r>
              <w:rPr>
                <w:sz w:val="18"/>
              </w:rPr>
              <w:t>4.15</w:t>
            </w:r>
          </w:p>
        </w:tc>
        <w:tc>
          <w:tcPr>
            <w:tcW w:type="dxa" w:w="2160"/>
          </w:tcPr>
          <w:p>
            <w:r>
              <w:rPr>
                <w:sz w:val="18"/>
              </w:rPr>
              <w:t>1.02–16.87</w:t>
            </w:r>
          </w:p>
        </w:tc>
        <w:tc>
          <w:tcPr>
            <w:tcW w:type="dxa" w:w="2160"/>
          </w:tcPr>
          <w:p>
            <w:r>
              <w:rPr>
                <w:sz w:val="18"/>
              </w:rPr>
              <w:t>0.047</w:t>
            </w:r>
          </w:p>
        </w:tc>
      </w:tr>
      <w:tr>
        <w:tc>
          <w:tcPr>
            <w:tcW w:type="dxa" w:w="2160"/>
          </w:tcPr>
          <w:p>
            <w:r>
              <w:rPr>
                <w:sz w:val="18"/>
              </w:rPr>
              <w:t>Twin + BMI (per kg/m²)</w:t>
            </w:r>
          </w:p>
        </w:tc>
        <w:tc>
          <w:tcPr>
            <w:tcW w:type="dxa" w:w="2160"/>
          </w:tcPr>
          <w:p>
            <w:r>
              <w:rPr>
                <w:sz w:val="18"/>
              </w:rPr>
              <w:t>4.18</w:t>
            </w:r>
          </w:p>
        </w:tc>
        <w:tc>
          <w:tcPr>
            <w:tcW w:type="dxa" w:w="2160"/>
          </w:tcPr>
          <w:p>
            <w:r>
              <w:rPr>
                <w:sz w:val="18"/>
              </w:rPr>
              <w:t>1.04–16.81</w:t>
            </w:r>
          </w:p>
        </w:tc>
        <w:tc>
          <w:tcPr>
            <w:tcW w:type="dxa" w:w="2160"/>
          </w:tcPr>
          <w:p>
            <w:r>
              <w:rPr>
                <w:sz w:val="18"/>
              </w:rPr>
              <w:t>0.044</w:t>
            </w:r>
          </w:p>
        </w:tc>
      </w:tr>
      <w:tr>
        <w:tc>
          <w:tcPr>
            <w:tcW w:type="dxa" w:w="2160"/>
          </w:tcPr>
          <w:p>
            <w:r>
              <w:rPr>
                <w:sz w:val="18"/>
              </w:rPr>
              <w:t>Twin + GA (per week)</w:t>
            </w:r>
          </w:p>
        </w:tc>
        <w:tc>
          <w:tcPr>
            <w:tcW w:type="dxa" w:w="2160"/>
          </w:tcPr>
          <w:p>
            <w:r>
              <w:rPr>
                <w:sz w:val="18"/>
              </w:rPr>
              <w:t>4.60</w:t>
            </w:r>
          </w:p>
        </w:tc>
        <w:tc>
          <w:tcPr>
            <w:tcW w:type="dxa" w:w="2160"/>
          </w:tcPr>
          <w:p>
            <w:r>
              <w:rPr>
                <w:sz w:val="18"/>
              </w:rPr>
              <w:t>1.09–19.46</w:t>
            </w:r>
          </w:p>
        </w:tc>
        <w:tc>
          <w:tcPr>
            <w:tcW w:type="dxa" w:w="2160"/>
          </w:tcPr>
          <w:p>
            <w:r>
              <w:rPr>
                <w:sz w:val="18"/>
              </w:rPr>
              <w:t>0.038</w:t>
            </w:r>
          </w:p>
        </w:tc>
      </w:tr>
      <w:tr>
        <w:tc>
          <w:tcPr>
            <w:tcW w:type="dxa" w:w="2160"/>
          </w:tcPr>
          <w:p>
            <w:r>
              <w:rPr>
                <w:sz w:val="18"/>
              </w:rPr>
              <w:t>Twin + Emergency CS</w:t>
            </w:r>
          </w:p>
        </w:tc>
        <w:tc>
          <w:tcPr>
            <w:tcW w:type="dxa" w:w="2160"/>
          </w:tcPr>
          <w:p>
            <w:r>
              <w:rPr>
                <w:sz w:val="18"/>
              </w:rPr>
              <w:t>3.63</w:t>
            </w:r>
          </w:p>
        </w:tc>
        <w:tc>
          <w:tcPr>
            <w:tcW w:type="dxa" w:w="2160"/>
          </w:tcPr>
          <w:p>
            <w:r>
              <w:rPr>
                <w:sz w:val="18"/>
              </w:rPr>
              <w:t>0.90–14.64</w:t>
            </w:r>
          </w:p>
        </w:tc>
        <w:tc>
          <w:tcPr>
            <w:tcW w:type="dxa" w:w="2160"/>
          </w:tcPr>
          <w:p>
            <w:r>
              <w:rPr>
                <w:sz w:val="18"/>
              </w:rPr>
              <w:t>0.070</w:t>
            </w:r>
          </w:p>
        </w:tc>
      </w:tr>
      <w:tr>
        <w:tc>
          <w:tcPr>
            <w:tcW w:type="dxa" w:w="2160"/>
          </w:tcPr>
          <w:p>
            <w:r>
              <w:rPr>
                <w:sz w:val="18"/>
              </w:rPr>
              <w:t>Twin + Prior CS</w:t>
            </w:r>
          </w:p>
        </w:tc>
        <w:tc>
          <w:tcPr>
            <w:tcW w:type="dxa" w:w="2160"/>
          </w:tcPr>
          <w:p>
            <w:r>
              <w:rPr>
                <w:sz w:val="18"/>
              </w:rPr>
              <w:t>5.05</w:t>
            </w:r>
          </w:p>
        </w:tc>
        <w:tc>
          <w:tcPr>
            <w:tcW w:type="dxa" w:w="2160"/>
          </w:tcPr>
          <w:p>
            <w:r>
              <w:rPr>
                <w:sz w:val="18"/>
              </w:rPr>
              <w:t>1.13–22.67</w:t>
            </w:r>
          </w:p>
        </w:tc>
        <w:tc>
          <w:tcPr>
            <w:tcW w:type="dxa" w:w="2160"/>
          </w:tcPr>
          <w:p>
            <w:r>
              <w:rPr>
                <w:sz w:val="18"/>
              </w:rPr>
              <w:t>0.034</w:t>
            </w:r>
          </w:p>
        </w:tc>
      </w:tr>
      <w:tr>
        <w:tc>
          <w:tcPr>
            <w:tcW w:type="dxa" w:w="2160"/>
          </w:tcPr>
          <w:p>
            <w:r>
              <w:rPr>
                <w:sz w:val="18"/>
              </w:rPr>
              <w:t>Twin + HDP</w:t>
            </w:r>
          </w:p>
        </w:tc>
        <w:tc>
          <w:tcPr>
            <w:tcW w:type="dxa" w:w="2160"/>
          </w:tcPr>
          <w:p>
            <w:r>
              <w:rPr>
                <w:sz w:val="18"/>
              </w:rPr>
              <w:t>4.19</w:t>
            </w:r>
          </w:p>
        </w:tc>
        <w:tc>
          <w:tcPr>
            <w:tcW w:type="dxa" w:w="2160"/>
          </w:tcPr>
          <w:p>
            <w:r>
              <w:rPr>
                <w:sz w:val="18"/>
              </w:rPr>
              <w:t>1.04–16.83</w:t>
            </w:r>
          </w:p>
        </w:tc>
        <w:tc>
          <w:tcPr>
            <w:tcW w:type="dxa" w:w="2160"/>
          </w:tcPr>
          <w:p>
            <w:r>
              <w:rPr>
                <w:sz w:val="18"/>
              </w:rPr>
              <w:t>0.043</w:t>
            </w:r>
          </w:p>
        </w:tc>
      </w:tr>
      <w:tr>
        <w:tc>
          <w:tcPr>
            <w:tcW w:type="dxa" w:w="2160"/>
          </w:tcPr>
          <w:p>
            <w:r>
              <w:rPr>
                <w:sz w:val="18"/>
              </w:rPr>
              <w:t>Twin + Epidural anesthesia</w:t>
            </w:r>
          </w:p>
        </w:tc>
        <w:tc>
          <w:tcPr>
            <w:tcW w:type="dxa" w:w="2160"/>
          </w:tcPr>
          <w:p>
            <w:r>
              <w:rPr>
                <w:sz w:val="18"/>
              </w:rPr>
              <w:t>4.12</w:t>
            </w:r>
          </w:p>
        </w:tc>
        <w:tc>
          <w:tcPr>
            <w:tcW w:type="dxa" w:w="2160"/>
          </w:tcPr>
          <w:p>
            <w:r>
              <w:rPr>
                <w:sz w:val="18"/>
              </w:rPr>
              <w:t>1.02–16.58</w:t>
            </w:r>
          </w:p>
        </w:tc>
        <w:tc>
          <w:tcPr>
            <w:tcW w:type="dxa" w:w="2160"/>
          </w:tcPr>
          <w:p>
            <w:r>
              <w:rPr>
                <w:sz w:val="18"/>
              </w:rPr>
              <w:t>0.046</w:t>
            </w:r>
          </w:p>
        </w:tc>
      </w:tr>
      <w:tr>
        <w:tc>
          <w:tcPr>
            <w:tcW w:type="dxa" w:w="2160"/>
          </w:tcPr>
          <w:p>
            <w:r>
              <w:rPr>
                <w:sz w:val="18"/>
              </w:rPr>
              <w:t>Twin + Surgery time (per min)</w:t>
            </w:r>
          </w:p>
        </w:tc>
        <w:tc>
          <w:tcPr>
            <w:tcW w:type="dxa" w:w="2160"/>
          </w:tcPr>
          <w:p>
            <w:r>
              <w:rPr>
                <w:sz w:val="18"/>
              </w:rPr>
              <w:t>5.25</w:t>
            </w:r>
          </w:p>
        </w:tc>
        <w:tc>
          <w:tcPr>
            <w:tcW w:type="dxa" w:w="2160"/>
          </w:tcPr>
          <w:p>
            <w:r>
              <w:rPr>
                <w:sz w:val="18"/>
              </w:rPr>
              <w:t>1.25–21.99</w:t>
            </w:r>
          </w:p>
        </w:tc>
        <w:tc>
          <w:tcPr>
            <w:tcW w:type="dxa" w:w="2160"/>
          </w:tcPr>
          <w:p>
            <w:r>
              <w:rPr>
                <w:sz w:val="18"/>
              </w:rPr>
              <w:t>0.023</w:t>
            </w:r>
          </w:p>
        </w:tc>
      </w:tr>
      <w:tr>
        <w:tc>
          <w:tcPr>
            <w:tcW w:type="dxa" w:w="2160"/>
          </w:tcPr>
          <w:p>
            <w:r>
              <w:rPr>
                <w:sz w:val="18"/>
              </w:rPr>
              <w:t>Twin + Hypotension (SBP &lt; 90)</w:t>
            </w:r>
          </w:p>
        </w:tc>
        <w:tc>
          <w:tcPr>
            <w:tcW w:type="dxa" w:w="2160"/>
          </w:tcPr>
          <w:p>
            <w:r>
              <w:rPr>
                <w:sz w:val="18"/>
              </w:rPr>
              <w:t>4.27</w:t>
            </w:r>
          </w:p>
        </w:tc>
        <w:tc>
          <w:tcPr>
            <w:tcW w:type="dxa" w:w="2160"/>
          </w:tcPr>
          <w:p>
            <w:r>
              <w:rPr>
                <w:sz w:val="18"/>
              </w:rPr>
              <w:t>1.06–17.24</w:t>
            </w:r>
          </w:p>
        </w:tc>
        <w:tc>
          <w:tcPr>
            <w:tcW w:type="dxa" w:w="2160"/>
          </w:tcPr>
          <w:p>
            <w:r>
              <w:rPr>
                <w:sz w:val="18"/>
              </w:rPr>
              <w:t>0.041</w:t>
            </w:r>
          </w:p>
        </w:tc>
      </w:tr>
      <w:tr>
        <w:tc>
          <w:tcPr>
            <w:tcW w:type="dxa" w:w="2160"/>
          </w:tcPr>
          <w:p>
            <w:r>
              <w:rPr>
                <w:sz w:val="18"/>
              </w:rPr>
              <w:t>Full minus Age (per year)</w:t>
            </w:r>
          </w:p>
        </w:tc>
        <w:tc>
          <w:tcPr>
            <w:tcW w:type="dxa" w:w="2160"/>
          </w:tcPr>
          <w:p>
            <w:r>
              <w:rPr>
                <w:sz w:val="18"/>
              </w:rPr>
              <w:t>3.51</w:t>
            </w:r>
          </w:p>
        </w:tc>
        <w:tc>
          <w:tcPr>
            <w:tcW w:type="dxa" w:w="2160"/>
          </w:tcPr>
          <w:p>
            <w:r>
              <w:rPr>
                <w:sz w:val="18"/>
              </w:rPr>
              <w:t>0.64–19.11</w:t>
            </w:r>
          </w:p>
        </w:tc>
        <w:tc>
          <w:tcPr>
            <w:tcW w:type="dxa" w:w="2160"/>
          </w:tcPr>
          <w:p>
            <w:r>
              <w:rPr>
                <w:sz w:val="18"/>
              </w:rPr>
              <w:t>0.147</w:t>
            </w:r>
          </w:p>
        </w:tc>
      </w:tr>
      <w:tr>
        <w:tc>
          <w:tcPr>
            <w:tcW w:type="dxa" w:w="2160"/>
          </w:tcPr>
          <w:p>
            <w:r>
              <w:rPr>
                <w:sz w:val="18"/>
              </w:rPr>
              <w:t>Full minus BMI (per kg/m²)</w:t>
            </w:r>
          </w:p>
        </w:tc>
        <w:tc>
          <w:tcPr>
            <w:tcW w:type="dxa" w:w="2160"/>
          </w:tcPr>
          <w:p>
            <w:r>
              <w:rPr>
                <w:sz w:val="18"/>
              </w:rPr>
              <w:t>3.35</w:t>
            </w:r>
          </w:p>
        </w:tc>
        <w:tc>
          <w:tcPr>
            <w:tcW w:type="dxa" w:w="2160"/>
          </w:tcPr>
          <w:p>
            <w:r>
              <w:rPr>
                <w:sz w:val="18"/>
              </w:rPr>
              <w:t>0.61–18.41</w:t>
            </w:r>
          </w:p>
        </w:tc>
        <w:tc>
          <w:tcPr>
            <w:tcW w:type="dxa" w:w="2160"/>
          </w:tcPr>
          <w:p>
            <w:r>
              <w:rPr>
                <w:sz w:val="18"/>
              </w:rPr>
              <w:t>0.164</w:t>
            </w:r>
          </w:p>
        </w:tc>
      </w:tr>
      <w:tr>
        <w:tc>
          <w:tcPr>
            <w:tcW w:type="dxa" w:w="2160"/>
          </w:tcPr>
          <w:p>
            <w:r>
              <w:rPr>
                <w:sz w:val="18"/>
              </w:rPr>
              <w:t>Full minus GA (per week)</w:t>
            </w:r>
          </w:p>
        </w:tc>
        <w:tc>
          <w:tcPr>
            <w:tcW w:type="dxa" w:w="2160"/>
          </w:tcPr>
          <w:p>
            <w:r>
              <w:rPr>
                <w:sz w:val="18"/>
              </w:rPr>
              <w:t>3.58</w:t>
            </w:r>
          </w:p>
        </w:tc>
        <w:tc>
          <w:tcPr>
            <w:tcW w:type="dxa" w:w="2160"/>
          </w:tcPr>
          <w:p>
            <w:r>
              <w:rPr>
                <w:sz w:val="18"/>
              </w:rPr>
              <w:t>0.66–19.37</w:t>
            </w:r>
          </w:p>
        </w:tc>
        <w:tc>
          <w:tcPr>
            <w:tcW w:type="dxa" w:w="2160"/>
          </w:tcPr>
          <w:p>
            <w:r>
              <w:rPr>
                <w:sz w:val="18"/>
              </w:rPr>
              <w:t>0.138</w:t>
            </w:r>
          </w:p>
        </w:tc>
      </w:tr>
      <w:tr>
        <w:tc>
          <w:tcPr>
            <w:tcW w:type="dxa" w:w="2160"/>
          </w:tcPr>
          <w:p>
            <w:r>
              <w:rPr>
                <w:sz w:val="18"/>
              </w:rPr>
              <w:t>Full minus Emergency CS</w:t>
            </w:r>
          </w:p>
        </w:tc>
        <w:tc>
          <w:tcPr>
            <w:tcW w:type="dxa" w:w="2160"/>
          </w:tcPr>
          <w:p>
            <w:r>
              <w:rPr>
                <w:sz w:val="18"/>
              </w:rPr>
              <w:t>5.96</w:t>
            </w:r>
          </w:p>
        </w:tc>
        <w:tc>
          <w:tcPr>
            <w:tcW w:type="dxa" w:w="2160"/>
          </w:tcPr>
          <w:p>
            <w:r>
              <w:rPr>
                <w:sz w:val="18"/>
              </w:rPr>
              <w:t>1.20–29.68</w:t>
            </w:r>
          </w:p>
        </w:tc>
        <w:tc>
          <w:tcPr>
            <w:tcW w:type="dxa" w:w="2160"/>
          </w:tcPr>
          <w:p>
            <w:r>
              <w:rPr>
                <w:sz w:val="18"/>
              </w:rPr>
              <w:t>0.029</w:t>
            </w:r>
          </w:p>
        </w:tc>
      </w:tr>
      <w:tr>
        <w:tc>
          <w:tcPr>
            <w:tcW w:type="dxa" w:w="2160"/>
          </w:tcPr>
          <w:p>
            <w:r>
              <w:rPr>
                <w:sz w:val="18"/>
              </w:rPr>
              <w:t>Full minus Prior CS</w:t>
            </w:r>
          </w:p>
        </w:tc>
        <w:tc>
          <w:tcPr>
            <w:tcW w:type="dxa" w:w="2160"/>
          </w:tcPr>
          <w:p>
            <w:r>
              <w:rPr>
                <w:sz w:val="18"/>
              </w:rPr>
              <w:t>3.66</w:t>
            </w:r>
          </w:p>
        </w:tc>
        <w:tc>
          <w:tcPr>
            <w:tcW w:type="dxa" w:w="2160"/>
          </w:tcPr>
          <w:p>
            <w:r>
              <w:rPr>
                <w:sz w:val="18"/>
              </w:rPr>
              <w:t>0.81–16.55</w:t>
            </w:r>
          </w:p>
        </w:tc>
        <w:tc>
          <w:tcPr>
            <w:tcW w:type="dxa" w:w="2160"/>
          </w:tcPr>
          <w:p>
            <w:r>
              <w:rPr>
                <w:sz w:val="18"/>
              </w:rPr>
              <w:t>0.092</w:t>
            </w:r>
          </w:p>
        </w:tc>
      </w:tr>
      <w:tr>
        <w:tc>
          <w:tcPr>
            <w:tcW w:type="dxa" w:w="2160"/>
          </w:tcPr>
          <w:p>
            <w:r>
              <w:rPr>
                <w:sz w:val="18"/>
              </w:rPr>
              <w:t>Full minus HDP</w:t>
            </w:r>
          </w:p>
        </w:tc>
        <w:tc>
          <w:tcPr>
            <w:tcW w:type="dxa" w:w="2160"/>
          </w:tcPr>
          <w:p>
            <w:r>
              <w:rPr>
                <w:sz w:val="18"/>
              </w:rPr>
              <w:t>3.36</w:t>
            </w:r>
          </w:p>
        </w:tc>
        <w:tc>
          <w:tcPr>
            <w:tcW w:type="dxa" w:w="2160"/>
          </w:tcPr>
          <w:p>
            <w:r>
              <w:rPr>
                <w:sz w:val="18"/>
              </w:rPr>
              <w:t>0.62–18.27</w:t>
            </w:r>
          </w:p>
        </w:tc>
        <w:tc>
          <w:tcPr>
            <w:tcW w:type="dxa" w:w="2160"/>
          </w:tcPr>
          <w:p>
            <w:r>
              <w:rPr>
                <w:sz w:val="18"/>
              </w:rPr>
              <w:t>0.161</w:t>
            </w:r>
          </w:p>
        </w:tc>
      </w:tr>
      <w:tr>
        <w:tc>
          <w:tcPr>
            <w:tcW w:type="dxa" w:w="2160"/>
          </w:tcPr>
          <w:p>
            <w:r>
              <w:rPr>
                <w:sz w:val="18"/>
              </w:rPr>
              <w:t>Full minus Epidural anesthesia</w:t>
            </w:r>
          </w:p>
        </w:tc>
        <w:tc>
          <w:tcPr>
            <w:tcW w:type="dxa" w:w="2160"/>
          </w:tcPr>
          <w:p>
            <w:r>
              <w:rPr>
                <w:sz w:val="18"/>
              </w:rPr>
              <w:t>3.91</w:t>
            </w:r>
          </w:p>
        </w:tc>
        <w:tc>
          <w:tcPr>
            <w:tcW w:type="dxa" w:w="2160"/>
          </w:tcPr>
          <w:p>
            <w:r>
              <w:rPr>
                <w:sz w:val="18"/>
              </w:rPr>
              <w:t>0.73–20.87</w:t>
            </w:r>
          </w:p>
        </w:tc>
        <w:tc>
          <w:tcPr>
            <w:tcW w:type="dxa" w:w="2160"/>
          </w:tcPr>
          <w:p>
            <w:r>
              <w:rPr>
                <w:sz w:val="18"/>
              </w:rPr>
              <w:t>0.110</w:t>
            </w:r>
          </w:p>
        </w:tc>
      </w:tr>
      <w:tr>
        <w:tc>
          <w:tcPr>
            <w:tcW w:type="dxa" w:w="2160"/>
          </w:tcPr>
          <w:p>
            <w:r>
              <w:rPr>
                <w:sz w:val="18"/>
              </w:rPr>
              <w:t>Full minus Surgery time (per min)</w:t>
            </w:r>
          </w:p>
        </w:tc>
        <w:tc>
          <w:tcPr>
            <w:tcW w:type="dxa" w:w="2160"/>
          </w:tcPr>
          <w:p>
            <w:r>
              <w:rPr>
                <w:sz w:val="18"/>
              </w:rPr>
              <w:t>3.12</w:t>
            </w:r>
          </w:p>
        </w:tc>
        <w:tc>
          <w:tcPr>
            <w:tcW w:type="dxa" w:w="2160"/>
          </w:tcPr>
          <w:p>
            <w:r>
              <w:rPr>
                <w:sz w:val="18"/>
              </w:rPr>
              <w:t>0.56–17.38</w:t>
            </w:r>
          </w:p>
        </w:tc>
        <w:tc>
          <w:tcPr>
            <w:tcW w:type="dxa" w:w="2160"/>
          </w:tcPr>
          <w:p>
            <w:r>
              <w:rPr>
                <w:sz w:val="18"/>
              </w:rPr>
              <w:t>0.193</w:t>
            </w:r>
          </w:p>
        </w:tc>
      </w:tr>
      <w:tr>
        <w:tc>
          <w:tcPr>
            <w:tcW w:type="dxa" w:w="2160"/>
          </w:tcPr>
          <w:p>
            <w:r>
              <w:rPr>
                <w:sz w:val="18"/>
              </w:rPr>
              <w:t>Reduced (6 covariates)</w:t>
            </w:r>
          </w:p>
        </w:tc>
        <w:tc>
          <w:tcPr>
            <w:tcW w:type="dxa" w:w="2160"/>
          </w:tcPr>
          <w:p>
            <w:r>
              <w:rPr>
                <w:sz w:val="18"/>
              </w:rPr>
              <w:t>3.48</w:t>
            </w:r>
          </w:p>
        </w:tc>
        <w:tc>
          <w:tcPr>
            <w:tcW w:type="dxa" w:w="2160"/>
          </w:tcPr>
          <w:p>
            <w:r>
              <w:rPr>
                <w:sz w:val="18"/>
              </w:rPr>
              <w:t>0.81–15.06</w:t>
            </w:r>
          </w:p>
        </w:tc>
        <w:tc>
          <w:tcPr>
            <w:tcW w:type="dxa" w:w="2160"/>
          </w:tcPr>
          <w:p>
            <w:r>
              <w:rPr>
                <w:sz w:val="18"/>
              </w:rPr>
              <w:t>0.095</w:t>
            </w:r>
          </w:p>
        </w:tc>
      </w:tr>
    </w:tbl>
    <w:p/>
    <w:p>
      <w:pPr>
        <w:spacing w:before="320"/>
        <w:jc w:val="center"/>
      </w:pPr>
      <w:r>
        <w:drawing>
          <wp:inline xmlns:a="http://schemas.openxmlformats.org/drawingml/2006/main" xmlns:pic="http://schemas.openxmlformats.org/drawingml/2006/picture">
            <wp:extent cx="5486400" cy="4564316"/>
            <wp:docPr id="5" name="Picture 5"/>
            <wp:cNvGraphicFramePr>
              <a:graphicFrameLocks noChangeAspect="1"/>
            </wp:cNvGraphicFramePr>
            <a:graphic>
              <a:graphicData uri="http://schemas.openxmlformats.org/drawingml/2006/picture">
                <pic:pic>
                  <pic:nvPicPr>
                    <pic:cNvPr id="0" name="fig3_covariate_sensitivity.png"/>
                    <pic:cNvPicPr/>
                  </pic:nvPicPr>
                  <pic:blipFill>
                    <a:blip r:embed="rId13"/>
                    <a:stretch>
                      <a:fillRect/>
                    </a:stretch>
                  </pic:blipFill>
                  <pic:spPr>
                    <a:xfrm>
                      <a:off x="0" y="0"/>
                      <a:ext cx="5486400" cy="4564316"/>
                    </a:xfrm>
                    <a:prstGeom prst="rect"/>
                  </pic:spPr>
                </pic:pic>
              </a:graphicData>
            </a:graphic>
          </wp:inline>
        </w:drawing>
      </w:r>
    </w:p>
    <w:p>
      <w:pPr>
        <w:spacing w:before="120"/>
        <w:jc w:val="center"/>
      </w:pPr>
      <w:r>
        <w:rPr>
          <w:i/>
          <w:sz w:val="18"/>
        </w:rPr>
        <w:t>Fig. 5  共変量感度分析：双胎の制吐薬（狭義）使用に対する効果</w:t>
      </w:r>
    </w:p>
    <w:p>
      <w:pPr>
        <w:pStyle w:val="Heading2"/>
      </w:pPr>
      <w:r>
        <w:rPr>
          <w:color w:val="000000"/>
        </w:rPr>
        <w:t>除外感度分析（STROBE項目18）</w:t>
      </w:r>
    </w:p>
    <w:p>
      <w:r>
        <w:t>緊急帝王切開（1,452例）、帝王切開既往（1,320例）、HDP（317例）、術前ステロイド（232例）を除外した予定手術・低リスクサブグループ663例（単胎479例、双胎184例）で再解析した（重複あり、Fig. 1）。</w:t>
      </w:r>
    </w:p>
    <w:p>
      <w:r>
        <w:t>制吐薬（広義）ではIONV発生率に有意差を認めなかった（単胎2.9% vs 双胎2.2%, aOR 0.70, P = 0.549）。一方、制吐薬（狭義）では単胎0.2%に対し双胎1.6%と依然として有意に高率であった（aOR 14.14, 95%CI 0.72–277.39, P = 0.081）（Table 4）。</w:t>
      </w:r>
    </w:p>
    <w:p>
      <w:r>
        <w:rPr>
          <w:b/>
        </w:rPr>
        <w:t>Table 4. 除外感度分析の結果（予定手術・低リスクサブグループ）</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評価項目</w:t>
            </w:r>
          </w:p>
        </w:tc>
        <w:tc>
          <w:tcPr>
            <w:tcW w:type="dxa" w:w="1234"/>
          </w:tcPr>
          <w:p>
            <w:r>
              <w:rPr>
                <w:b/>
                <w:sz w:val="16"/>
              </w:rPr>
              <w:t>単胎 n (%)</w:t>
            </w:r>
          </w:p>
        </w:tc>
        <w:tc>
          <w:tcPr>
            <w:tcW w:type="dxa" w:w="1234"/>
          </w:tcPr>
          <w:p>
            <w:r>
              <w:rPr>
                <w:b/>
                <w:sz w:val="16"/>
              </w:rPr>
              <w:t>双胎 n (%)</w:t>
            </w:r>
          </w:p>
        </w:tc>
        <w:tc>
          <w:tcPr>
            <w:tcW w:type="dxa" w:w="1234"/>
          </w:tcPr>
          <w:p>
            <w:r>
              <w:rPr>
                <w:b/>
                <w:sz w:val="16"/>
              </w:rPr>
              <w:t>モデル</w:t>
            </w:r>
          </w:p>
        </w:tc>
        <w:tc>
          <w:tcPr>
            <w:tcW w:type="dxa" w:w="1234"/>
          </w:tcPr>
          <w:p>
            <w:r>
              <w:rPr>
                <w:b/>
                <w:sz w:val="16"/>
              </w:rPr>
              <w:t>aOR</w:t>
            </w:r>
          </w:p>
        </w:tc>
        <w:tc>
          <w:tcPr>
            <w:tcW w:type="dxa" w:w="1234"/>
          </w:tcPr>
          <w:p>
            <w:r>
              <w:rPr>
                <w:b/>
                <w:sz w:val="16"/>
              </w:rPr>
              <w:t>95% CI</w:t>
            </w:r>
          </w:p>
        </w:tc>
        <w:tc>
          <w:tcPr>
            <w:tcW w:type="dxa" w:w="1234"/>
          </w:tcPr>
          <w:p>
            <w:r>
              <w:rPr>
                <w:b/>
                <w:sz w:val="16"/>
              </w:rPr>
              <w:t>P値</w:t>
            </w:r>
          </w:p>
        </w:tc>
      </w:tr>
      <w:tr>
        <w:tc>
          <w:tcPr>
            <w:tcW w:type="dxa" w:w="1234"/>
          </w:tcPr>
          <w:p>
            <w:r>
              <w:rPr>
                <w:sz w:val="16"/>
              </w:rPr>
              <w:t>広義 主要</w:t>
            </w:r>
          </w:p>
        </w:tc>
        <w:tc>
          <w:tcPr>
            <w:tcW w:type="dxa" w:w="1234"/>
          </w:tcPr>
          <w:p>
            <w:r>
              <w:rPr>
                <w:sz w:val="16"/>
              </w:rPr>
              <w:t>14 (2.9%)</w:t>
            </w:r>
          </w:p>
        </w:tc>
        <w:tc>
          <w:tcPr>
            <w:tcW w:type="dxa" w:w="1234"/>
          </w:tcPr>
          <w:p>
            <w:r>
              <w:rPr>
                <w:sz w:val="16"/>
              </w:rPr>
              <w:t>4 (2.2%)</w:t>
            </w:r>
          </w:p>
        </w:tc>
        <w:tc>
          <w:tcPr>
            <w:tcW w:type="dxa" w:w="1234"/>
          </w:tcPr>
          <w:p>
            <w:r>
              <w:rPr>
                <w:sz w:val="16"/>
              </w:rPr>
              <w:t>reduced</w:t>
            </w:r>
          </w:p>
        </w:tc>
        <w:tc>
          <w:tcPr>
            <w:tcW w:type="dxa" w:w="1234"/>
          </w:tcPr>
          <w:p>
            <w:r>
              <w:rPr>
                <w:sz w:val="16"/>
              </w:rPr>
              <w:t>0.70</w:t>
            </w:r>
          </w:p>
        </w:tc>
        <w:tc>
          <w:tcPr>
            <w:tcW w:type="dxa" w:w="1234"/>
          </w:tcPr>
          <w:p>
            <w:r>
              <w:rPr>
                <w:sz w:val="16"/>
              </w:rPr>
              <w:t>0.22–2.26</w:t>
            </w:r>
          </w:p>
        </w:tc>
        <w:tc>
          <w:tcPr>
            <w:tcW w:type="dxa" w:w="1234"/>
          </w:tcPr>
          <w:p>
            <w:r>
              <w:rPr>
                <w:sz w:val="16"/>
              </w:rPr>
              <w:t>0.549</w:t>
            </w:r>
          </w:p>
        </w:tc>
      </w:tr>
      <w:tr>
        <w:tc>
          <w:tcPr>
            <w:tcW w:type="dxa" w:w="1234"/>
          </w:tcPr>
          <w:p>
            <w:r>
              <w:rPr>
                <w:sz w:val="16"/>
              </w:rPr>
              <w:t>広義 副次</w:t>
            </w:r>
          </w:p>
        </w:tc>
        <w:tc>
          <w:tcPr>
            <w:tcW w:type="dxa" w:w="1234"/>
          </w:tcPr>
          <w:p>
            <w:r>
              <w:rPr>
                <w:sz w:val="16"/>
              </w:rPr>
              <w:t>105 (21.9%)</w:t>
            </w:r>
          </w:p>
        </w:tc>
        <w:tc>
          <w:tcPr>
            <w:tcW w:type="dxa" w:w="1234"/>
          </w:tcPr>
          <w:p>
            <w:r>
              <w:rPr>
                <w:sz w:val="16"/>
              </w:rPr>
              <w:t>27 (14.7%)</w:t>
            </w:r>
          </w:p>
        </w:tc>
        <w:tc>
          <w:tcPr>
            <w:tcW w:type="dxa" w:w="1234"/>
          </w:tcPr>
          <w:p>
            <w:r>
              <w:rPr>
                <w:sz w:val="16"/>
              </w:rPr>
              <w:t>full</w:t>
            </w:r>
          </w:p>
        </w:tc>
        <w:tc>
          <w:tcPr>
            <w:tcW w:type="dxa" w:w="1234"/>
          </w:tcPr>
          <w:p>
            <w:r>
              <w:rPr>
                <w:sz w:val="16"/>
              </w:rPr>
              <w:t>0.65</w:t>
            </w:r>
          </w:p>
        </w:tc>
        <w:tc>
          <w:tcPr>
            <w:tcW w:type="dxa" w:w="1234"/>
          </w:tcPr>
          <w:p>
            <w:r>
              <w:rPr>
                <w:sz w:val="16"/>
              </w:rPr>
              <w:t>0.40–1.06</w:t>
            </w:r>
          </w:p>
        </w:tc>
        <w:tc>
          <w:tcPr>
            <w:tcW w:type="dxa" w:w="1234"/>
          </w:tcPr>
          <w:p>
            <w:r>
              <w:rPr>
                <w:sz w:val="16"/>
              </w:rPr>
              <w:t>0.086</w:t>
            </w:r>
          </w:p>
        </w:tc>
      </w:tr>
      <w:tr>
        <w:tc>
          <w:tcPr>
            <w:tcW w:type="dxa" w:w="1234"/>
          </w:tcPr>
          <w:p>
            <w:r>
              <w:rPr>
                <w:sz w:val="16"/>
              </w:rPr>
              <w:t>狭義 主要</w:t>
            </w:r>
          </w:p>
        </w:tc>
        <w:tc>
          <w:tcPr>
            <w:tcW w:type="dxa" w:w="1234"/>
          </w:tcPr>
          <w:p>
            <w:r>
              <w:rPr>
                <w:sz w:val="16"/>
              </w:rPr>
              <w:t>1 (0.2%)</w:t>
            </w:r>
          </w:p>
        </w:tc>
        <w:tc>
          <w:tcPr>
            <w:tcW w:type="dxa" w:w="1234"/>
          </w:tcPr>
          <w:p>
            <w:r>
              <w:rPr>
                <w:sz w:val="16"/>
              </w:rPr>
              <w:t>3 (1.6%)</w:t>
            </w:r>
          </w:p>
        </w:tc>
        <w:tc>
          <w:tcPr>
            <w:tcW w:type="dxa" w:w="1234"/>
          </w:tcPr>
          <w:p>
            <w:r>
              <w:rPr>
                <w:sz w:val="16"/>
              </w:rPr>
              <w:t>reduced</w:t>
            </w:r>
          </w:p>
        </w:tc>
        <w:tc>
          <w:tcPr>
            <w:tcW w:type="dxa" w:w="1234"/>
          </w:tcPr>
          <w:p>
            <w:r>
              <w:rPr>
                <w:sz w:val="16"/>
              </w:rPr>
              <w:t>14.14</w:t>
            </w:r>
          </w:p>
        </w:tc>
        <w:tc>
          <w:tcPr>
            <w:tcW w:type="dxa" w:w="1234"/>
          </w:tcPr>
          <w:p>
            <w:r>
              <w:rPr>
                <w:sz w:val="16"/>
              </w:rPr>
              <w:t>0.72–277.39</w:t>
            </w:r>
          </w:p>
        </w:tc>
        <w:tc>
          <w:tcPr>
            <w:tcW w:type="dxa" w:w="1234"/>
          </w:tcPr>
          <w:p>
            <w:r>
              <w:rPr>
                <w:sz w:val="16"/>
              </w:rPr>
              <w:t>0.081</w:t>
            </w:r>
          </w:p>
        </w:tc>
      </w:tr>
      <w:tr>
        <w:tc>
          <w:tcPr>
            <w:tcW w:type="dxa" w:w="1234"/>
          </w:tcPr>
          <w:p>
            <w:r>
              <w:rPr>
                <w:sz w:val="16"/>
              </w:rPr>
              <w:t>狭義 副次</w:t>
            </w:r>
          </w:p>
        </w:tc>
        <w:tc>
          <w:tcPr>
            <w:tcW w:type="dxa" w:w="1234"/>
          </w:tcPr>
          <w:p>
            <w:r>
              <w:rPr>
                <w:sz w:val="16"/>
              </w:rPr>
              <w:t>2 (0.4%)</w:t>
            </w:r>
          </w:p>
        </w:tc>
        <w:tc>
          <w:tcPr>
            <w:tcW w:type="dxa" w:w="1234"/>
          </w:tcPr>
          <w:p>
            <w:r>
              <w:rPr>
                <w:sz w:val="16"/>
              </w:rPr>
              <w:t>6 (3.3%)</w:t>
            </w:r>
          </w:p>
        </w:tc>
        <w:tc>
          <w:tcPr>
            <w:tcW w:type="dxa" w:w="1234"/>
          </w:tcPr>
          <w:p>
            <w:r>
              <w:rPr>
                <w:sz w:val="16"/>
              </w:rPr>
              <w:t>reduced</w:t>
            </w:r>
          </w:p>
        </w:tc>
        <w:tc>
          <w:tcPr>
            <w:tcW w:type="dxa" w:w="1234"/>
          </w:tcPr>
          <w:p>
            <w:r>
              <w:rPr>
                <w:sz w:val="16"/>
              </w:rPr>
              <w:t>13.59</w:t>
            </w:r>
          </w:p>
        </w:tc>
        <w:tc>
          <w:tcPr>
            <w:tcW w:type="dxa" w:w="1234"/>
          </w:tcPr>
          <w:p>
            <w:r>
              <w:rPr>
                <w:sz w:val="16"/>
              </w:rPr>
              <w:t>1.74–106.04</w:t>
            </w:r>
          </w:p>
        </w:tc>
        <w:tc>
          <w:tcPr>
            <w:tcW w:type="dxa" w:w="1234"/>
          </w:tcPr>
          <w:p>
            <w:r>
              <w:rPr>
                <w:sz w:val="16"/>
              </w:rPr>
              <w:t>0.013</w:t>
            </w:r>
          </w:p>
        </w:tc>
      </w:tr>
    </w:tbl>
    <w:p/>
    <w:p>
      <w:pPr>
        <w:spacing w:before="320"/>
        <w:jc w:val="center"/>
      </w:pPr>
      <w:r>
        <w:drawing>
          <wp:inline xmlns:a="http://schemas.openxmlformats.org/drawingml/2006/main" xmlns:pic="http://schemas.openxmlformats.org/drawingml/2006/picture">
            <wp:extent cx="5486400" cy="2374366"/>
            <wp:docPr id="6" name="Picture 6"/>
            <wp:cNvGraphicFramePr>
              <a:graphicFrameLocks noChangeAspect="1"/>
            </wp:cNvGraphicFramePr>
            <a:graphic>
              <a:graphicData uri="http://schemas.openxmlformats.org/drawingml/2006/picture">
                <pic:pic>
                  <pic:nvPicPr>
                    <pic:cNvPr id="0" name="fig1_rates_comparison.png"/>
                    <pic:cNvPicPr/>
                  </pic:nvPicPr>
                  <pic:blipFill>
                    <a:blip r:embed="rId14"/>
                    <a:stretch>
                      <a:fillRect/>
                    </a:stretch>
                  </pic:blipFill>
                  <pic:spPr>
                    <a:xfrm>
                      <a:off x="0" y="0"/>
                      <a:ext cx="5486400" cy="2374366"/>
                    </a:xfrm>
                    <a:prstGeom prst="rect"/>
                  </pic:spPr>
                </pic:pic>
              </a:graphicData>
            </a:graphic>
          </wp:inline>
        </w:drawing>
      </w:r>
    </w:p>
    <w:p>
      <w:pPr>
        <w:spacing w:before="120"/>
        <w:jc w:val="center"/>
      </w:pPr>
      <w:r>
        <w:rPr>
          <w:i/>
          <w:sz w:val="18"/>
        </w:rPr>
        <w:t>Fig. 6  IONV発生率の比較（予定手術・低リスクサブグループ）</w:t>
      </w:r>
    </w:p>
    <w:p>
      <w:pPr>
        <w:spacing w:before="320"/>
        <w:jc w:val="center"/>
      </w:pPr>
      <w:r>
        <w:drawing>
          <wp:inline xmlns:a="http://schemas.openxmlformats.org/drawingml/2006/main" xmlns:pic="http://schemas.openxmlformats.org/drawingml/2006/picture">
            <wp:extent cx="5486400" cy="2162037"/>
            <wp:docPr id="7" name="Picture 7"/>
            <wp:cNvGraphicFramePr>
              <a:graphicFrameLocks noChangeAspect="1"/>
            </wp:cNvGraphicFramePr>
            <a:graphic>
              <a:graphicData uri="http://schemas.openxmlformats.org/drawingml/2006/picture">
                <pic:pic>
                  <pic:nvPicPr>
                    <pic:cNvPr id="0" name="fig4_broad_vs_narrow.png"/>
                    <pic:cNvPicPr/>
                  </pic:nvPicPr>
                  <pic:blipFill>
                    <a:blip r:embed="rId15"/>
                    <a:stretch>
                      <a:fillRect/>
                    </a:stretch>
                  </pic:blipFill>
                  <pic:spPr>
                    <a:xfrm>
                      <a:off x="0" y="0"/>
                      <a:ext cx="5486400" cy="2162037"/>
                    </a:xfrm>
                    <a:prstGeom prst="rect"/>
                  </pic:spPr>
                </pic:pic>
              </a:graphicData>
            </a:graphic>
          </wp:inline>
        </w:drawing>
      </w:r>
    </w:p>
    <w:p>
      <w:pPr>
        <w:spacing w:before="120"/>
        <w:jc w:val="center"/>
      </w:pPr>
      <w:r>
        <w:rPr>
          <w:i/>
          <w:sz w:val="18"/>
        </w:rPr>
        <w:t>Fig. 7  双胎のIONV効果：広義 vs 狭義（予定手術・低リスクサブグループ）</w:t>
      </w:r>
    </w:p>
    <w:p>
      <w:pPr>
        <w:pStyle w:val="Heading2"/>
      </w:pPr>
      <w:r>
        <w:rPr>
          <w:color w:val="000000"/>
        </w:rPr>
        <w:t>緊急帝王切開の感度分析（STROBE項目18）</w:t>
      </w:r>
    </w:p>
    <w:p>
      <w:r>
        <w:t>緊急帝王切開が双胎のIONV効果を修飾する可能性を検証するため、予定手術のみ（n=1,736、単胎1,515例、双胎221例）および緊急手術のみ（n=1,452、単胎1,331例、双胎121例）のサブグループ解析を実施した（Table 5）。</w:t>
      </w:r>
    </w:p>
    <w:p>
      <w:r>
        <w:t>予定手術のみでは、制吐薬（狭義）主要評価項目でaOR 8.39（95%CI 1.21–58.18, P = 0.031）と効果量が大幅に増大し、副次評価項目も有意であった（aOR 8.99, 95%CI 2.50–32.29, P &lt; 0.001）。一方、緊急手術のみでは双胎効果は完全に消失した（狭義副次 aOR 0.95, P = 0.958; 狭義主要はイベント数不足のため推定不能）。</w:t>
      </w:r>
    </w:p>
    <w:p>
      <w:r>
        <w:t>興味深いことに、予定手術のみでは制吐薬（広義）副次評価項目で双胎群の方が有意に低率であった（18.5% vs 14.0%, aOR 0.64, P = 0.047）。交互作用解析では、制吐薬（広義）副次評価項目で緊急×双胎の有意な交互作用を認めた（交互作用OR 2.05, P = 0.023）。</w:t>
      </w:r>
    </w:p>
    <w:p>
      <w:r>
        <w:rPr>
          <w:b/>
        </w:rPr>
        <w:t>Table 5. 緊急帝王切開の感度分析</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サブグループ</w:t>
            </w:r>
          </w:p>
        </w:tc>
        <w:tc>
          <w:tcPr>
            <w:tcW w:type="dxa" w:w="1234"/>
          </w:tcPr>
          <w:p>
            <w:r>
              <w:rPr>
                <w:b/>
                <w:sz w:val="16"/>
              </w:rPr>
              <w:t>評価項目</w:t>
            </w:r>
          </w:p>
        </w:tc>
        <w:tc>
          <w:tcPr>
            <w:tcW w:type="dxa" w:w="1234"/>
          </w:tcPr>
          <w:p>
            <w:r>
              <w:rPr>
                <w:b/>
                <w:sz w:val="16"/>
              </w:rPr>
              <w:t>単胎</w:t>
            </w:r>
          </w:p>
        </w:tc>
        <w:tc>
          <w:tcPr>
            <w:tcW w:type="dxa" w:w="1234"/>
          </w:tcPr>
          <w:p>
            <w:r>
              <w:rPr>
                <w:b/>
                <w:sz w:val="16"/>
              </w:rPr>
              <w:t>双胎</w:t>
            </w:r>
          </w:p>
        </w:tc>
        <w:tc>
          <w:tcPr>
            <w:tcW w:type="dxa" w:w="1234"/>
          </w:tcPr>
          <w:p>
            <w:r>
              <w:rPr>
                <w:b/>
                <w:sz w:val="16"/>
              </w:rPr>
              <w:t>aOR</w:t>
            </w:r>
          </w:p>
        </w:tc>
        <w:tc>
          <w:tcPr>
            <w:tcW w:type="dxa" w:w="1234"/>
          </w:tcPr>
          <w:p>
            <w:r>
              <w:rPr>
                <w:b/>
                <w:sz w:val="16"/>
              </w:rPr>
              <w:t>95% CI</w:t>
            </w:r>
          </w:p>
        </w:tc>
        <w:tc>
          <w:tcPr>
            <w:tcW w:type="dxa" w:w="1234"/>
          </w:tcPr>
          <w:p>
            <w:r>
              <w:rPr>
                <w:b/>
                <w:sz w:val="16"/>
              </w:rPr>
              <w:t>P値</w:t>
            </w:r>
          </w:p>
        </w:tc>
      </w:tr>
      <w:tr>
        <w:tc>
          <w:tcPr>
            <w:tcW w:type="dxa" w:w="1234"/>
          </w:tcPr>
          <w:p>
            <w:r>
              <w:rPr>
                <w:sz w:val="16"/>
              </w:rPr>
              <w:t>予定手術のみ</w:t>
            </w:r>
          </w:p>
        </w:tc>
        <w:tc>
          <w:tcPr>
            <w:tcW w:type="dxa" w:w="1234"/>
          </w:tcPr>
          <w:p>
            <w:r>
              <w:rPr>
                <w:sz w:val="16"/>
              </w:rPr>
              <w:t>広義 主要</w:t>
            </w:r>
          </w:p>
        </w:tc>
        <w:tc>
          <w:tcPr>
            <w:tcW w:type="dxa" w:w="1234"/>
          </w:tcPr>
          <w:p>
            <w:r>
              <w:rPr>
                <w:sz w:val="16"/>
              </w:rPr>
              <w:t>2.4%</w:t>
            </w:r>
          </w:p>
        </w:tc>
        <w:tc>
          <w:tcPr>
            <w:tcW w:type="dxa" w:w="1234"/>
          </w:tcPr>
          <w:p>
            <w:r>
              <w:rPr>
                <w:sz w:val="16"/>
              </w:rPr>
              <w:t>1.8%</w:t>
            </w:r>
          </w:p>
        </w:tc>
        <w:tc>
          <w:tcPr>
            <w:tcW w:type="dxa" w:w="1234"/>
          </w:tcPr>
          <w:p>
            <w:r>
              <w:rPr>
                <w:sz w:val="16"/>
              </w:rPr>
              <w:t>0.83</w:t>
            </w:r>
          </w:p>
        </w:tc>
        <w:tc>
          <w:tcPr>
            <w:tcW w:type="dxa" w:w="1234"/>
          </w:tcPr>
          <w:p>
            <w:r>
              <w:rPr>
                <w:sz w:val="16"/>
              </w:rPr>
              <w:t>0.28–2.47</w:t>
            </w:r>
          </w:p>
        </w:tc>
        <w:tc>
          <w:tcPr>
            <w:tcW w:type="dxa" w:w="1234"/>
          </w:tcPr>
          <w:p>
            <w:r>
              <w:rPr>
                <w:sz w:val="16"/>
              </w:rPr>
              <w:t>0.735</w:t>
            </w:r>
          </w:p>
        </w:tc>
      </w:tr>
      <w:tr>
        <w:tc>
          <w:tcPr>
            <w:tcW w:type="dxa" w:w="1234"/>
          </w:tcPr>
          <w:p>
            <w:r>
              <w:rPr>
                <w:sz w:val="16"/>
              </w:rPr>
            </w:r>
          </w:p>
        </w:tc>
        <w:tc>
          <w:tcPr>
            <w:tcW w:type="dxa" w:w="1234"/>
          </w:tcPr>
          <w:p>
            <w:r>
              <w:rPr>
                <w:sz w:val="16"/>
              </w:rPr>
              <w:t>広義 副次</w:t>
            </w:r>
          </w:p>
        </w:tc>
        <w:tc>
          <w:tcPr>
            <w:tcW w:type="dxa" w:w="1234"/>
          </w:tcPr>
          <w:p>
            <w:r>
              <w:rPr>
                <w:sz w:val="16"/>
              </w:rPr>
              <w:t>18.5%</w:t>
            </w:r>
          </w:p>
        </w:tc>
        <w:tc>
          <w:tcPr>
            <w:tcW w:type="dxa" w:w="1234"/>
          </w:tcPr>
          <w:p>
            <w:r>
              <w:rPr>
                <w:sz w:val="16"/>
              </w:rPr>
              <w:t>14.0%</w:t>
            </w:r>
          </w:p>
        </w:tc>
        <w:tc>
          <w:tcPr>
            <w:tcW w:type="dxa" w:w="1234"/>
          </w:tcPr>
          <w:p>
            <w:r>
              <w:rPr>
                <w:sz w:val="16"/>
              </w:rPr>
              <w:t>0.64</w:t>
            </w:r>
          </w:p>
        </w:tc>
        <w:tc>
          <w:tcPr>
            <w:tcW w:type="dxa" w:w="1234"/>
          </w:tcPr>
          <w:p>
            <w:r>
              <w:rPr>
                <w:sz w:val="16"/>
              </w:rPr>
              <w:t>0.41–0.99</w:t>
            </w:r>
          </w:p>
        </w:tc>
        <w:tc>
          <w:tcPr>
            <w:tcW w:type="dxa" w:w="1234"/>
          </w:tcPr>
          <w:p>
            <w:r>
              <w:rPr>
                <w:sz w:val="16"/>
              </w:rPr>
              <w:t>0.047</w:t>
            </w:r>
          </w:p>
        </w:tc>
      </w:tr>
      <w:tr>
        <w:tc>
          <w:tcPr>
            <w:tcW w:type="dxa" w:w="1234"/>
          </w:tcPr>
          <w:p>
            <w:r>
              <w:rPr>
                <w:sz w:val="16"/>
              </w:rPr>
            </w:r>
          </w:p>
        </w:tc>
        <w:tc>
          <w:tcPr>
            <w:tcW w:type="dxa" w:w="1234"/>
          </w:tcPr>
          <w:p>
            <w:r>
              <w:rPr>
                <w:sz w:val="16"/>
              </w:rPr>
              <w:t>狭義 主要</w:t>
            </w:r>
          </w:p>
        </w:tc>
        <w:tc>
          <w:tcPr>
            <w:tcW w:type="dxa" w:w="1234"/>
          </w:tcPr>
          <w:p>
            <w:r>
              <w:rPr>
                <w:sz w:val="16"/>
              </w:rPr>
              <w:t>0.3%</w:t>
            </w:r>
          </w:p>
        </w:tc>
        <w:tc>
          <w:tcPr>
            <w:tcW w:type="dxa" w:w="1234"/>
          </w:tcPr>
          <w:p>
            <w:r>
              <w:rPr>
                <w:sz w:val="16"/>
              </w:rPr>
              <w:t>1.4%</w:t>
            </w:r>
          </w:p>
        </w:tc>
        <w:tc>
          <w:tcPr>
            <w:tcW w:type="dxa" w:w="1234"/>
          </w:tcPr>
          <w:p>
            <w:r>
              <w:rPr>
                <w:sz w:val="16"/>
              </w:rPr>
              <w:t>8.39</w:t>
            </w:r>
          </w:p>
        </w:tc>
        <w:tc>
          <w:tcPr>
            <w:tcW w:type="dxa" w:w="1234"/>
          </w:tcPr>
          <w:p>
            <w:r>
              <w:rPr>
                <w:sz w:val="16"/>
              </w:rPr>
              <w:t>1.21–58.18</w:t>
            </w:r>
          </w:p>
        </w:tc>
        <w:tc>
          <w:tcPr>
            <w:tcW w:type="dxa" w:w="1234"/>
          </w:tcPr>
          <w:p>
            <w:r>
              <w:rPr>
                <w:sz w:val="16"/>
              </w:rPr>
              <w:t>0.031</w:t>
            </w:r>
          </w:p>
        </w:tc>
      </w:tr>
      <w:tr>
        <w:tc>
          <w:tcPr>
            <w:tcW w:type="dxa" w:w="1234"/>
          </w:tcPr>
          <w:p>
            <w:r>
              <w:rPr>
                <w:sz w:val="16"/>
              </w:rPr>
            </w:r>
          </w:p>
        </w:tc>
        <w:tc>
          <w:tcPr>
            <w:tcW w:type="dxa" w:w="1234"/>
          </w:tcPr>
          <w:p>
            <w:r>
              <w:rPr>
                <w:sz w:val="16"/>
              </w:rPr>
              <w:t>狭義 副次</w:t>
            </w:r>
          </w:p>
        </w:tc>
        <w:tc>
          <w:tcPr>
            <w:tcW w:type="dxa" w:w="1234"/>
          </w:tcPr>
          <w:p>
            <w:r>
              <w:rPr>
                <w:sz w:val="16"/>
              </w:rPr>
              <w:t>0.8%</w:t>
            </w:r>
          </w:p>
        </w:tc>
        <w:tc>
          <w:tcPr>
            <w:tcW w:type="dxa" w:w="1234"/>
          </w:tcPr>
          <w:p>
            <w:r>
              <w:rPr>
                <w:sz w:val="16"/>
              </w:rPr>
              <w:t>3.2%</w:t>
            </w:r>
          </w:p>
        </w:tc>
        <w:tc>
          <w:tcPr>
            <w:tcW w:type="dxa" w:w="1234"/>
          </w:tcPr>
          <w:p>
            <w:r>
              <w:rPr>
                <w:sz w:val="16"/>
              </w:rPr>
              <w:t>8.99</w:t>
            </w:r>
          </w:p>
        </w:tc>
        <w:tc>
          <w:tcPr>
            <w:tcW w:type="dxa" w:w="1234"/>
          </w:tcPr>
          <w:p>
            <w:r>
              <w:rPr>
                <w:sz w:val="16"/>
              </w:rPr>
              <w:t>2.50–32.29</w:t>
            </w:r>
          </w:p>
        </w:tc>
        <w:tc>
          <w:tcPr>
            <w:tcW w:type="dxa" w:w="1234"/>
          </w:tcPr>
          <w:p>
            <w:r>
              <w:rPr>
                <w:sz w:val="16"/>
              </w:rPr>
              <w:t>&lt; 0.001</w:t>
            </w:r>
          </w:p>
        </w:tc>
      </w:tr>
      <w:tr>
        <w:tc>
          <w:tcPr>
            <w:tcW w:type="dxa" w:w="1234"/>
          </w:tcPr>
          <w:p>
            <w:r>
              <w:rPr>
                <w:sz w:val="16"/>
              </w:rPr>
              <w:t>緊急手術のみ</w:t>
            </w:r>
          </w:p>
        </w:tc>
        <w:tc>
          <w:tcPr>
            <w:tcW w:type="dxa" w:w="1234"/>
          </w:tcPr>
          <w:p>
            <w:r>
              <w:rPr>
                <w:sz w:val="16"/>
              </w:rPr>
              <w:t>広義 主要</w:t>
            </w:r>
          </w:p>
        </w:tc>
        <w:tc>
          <w:tcPr>
            <w:tcW w:type="dxa" w:w="1234"/>
          </w:tcPr>
          <w:p>
            <w:r>
              <w:rPr>
                <w:sz w:val="16"/>
              </w:rPr>
              <w:t>1.4%</w:t>
            </w:r>
          </w:p>
        </w:tc>
        <w:tc>
          <w:tcPr>
            <w:tcW w:type="dxa" w:w="1234"/>
          </w:tcPr>
          <w:p>
            <w:r>
              <w:rPr>
                <w:sz w:val="16"/>
              </w:rPr>
              <w:t>0.8%</w:t>
            </w:r>
          </w:p>
        </w:tc>
        <w:tc>
          <w:tcPr>
            <w:tcW w:type="dxa" w:w="1234"/>
          </w:tcPr>
          <w:p>
            <w:r>
              <w:rPr>
                <w:sz w:val="16"/>
              </w:rPr>
              <w:t>0.61</w:t>
            </w:r>
          </w:p>
        </w:tc>
        <w:tc>
          <w:tcPr>
            <w:tcW w:type="dxa" w:w="1234"/>
          </w:tcPr>
          <w:p>
            <w:r>
              <w:rPr>
                <w:sz w:val="16"/>
              </w:rPr>
              <w:t>0.08–4.68</w:t>
            </w:r>
          </w:p>
        </w:tc>
        <w:tc>
          <w:tcPr>
            <w:tcW w:type="dxa" w:w="1234"/>
          </w:tcPr>
          <w:p>
            <w:r>
              <w:rPr>
                <w:sz w:val="16"/>
              </w:rPr>
              <w:t>0.637</w:t>
            </w:r>
          </w:p>
        </w:tc>
      </w:tr>
      <w:tr>
        <w:tc>
          <w:tcPr>
            <w:tcW w:type="dxa" w:w="1234"/>
          </w:tcPr>
          <w:p>
            <w:r>
              <w:rPr>
                <w:sz w:val="16"/>
              </w:rPr>
            </w:r>
          </w:p>
        </w:tc>
        <w:tc>
          <w:tcPr>
            <w:tcW w:type="dxa" w:w="1234"/>
          </w:tcPr>
          <w:p>
            <w:r>
              <w:rPr>
                <w:sz w:val="16"/>
              </w:rPr>
              <w:t>広義 副次</w:t>
            </w:r>
          </w:p>
        </w:tc>
        <w:tc>
          <w:tcPr>
            <w:tcW w:type="dxa" w:w="1234"/>
          </w:tcPr>
          <w:p>
            <w:r>
              <w:rPr>
                <w:sz w:val="16"/>
              </w:rPr>
              <w:t>16.8%</w:t>
            </w:r>
          </w:p>
        </w:tc>
        <w:tc>
          <w:tcPr>
            <w:tcW w:type="dxa" w:w="1234"/>
          </w:tcPr>
          <w:p>
            <w:r>
              <w:rPr>
                <w:sz w:val="16"/>
              </w:rPr>
              <w:t>22.3%</w:t>
            </w:r>
          </w:p>
        </w:tc>
        <w:tc>
          <w:tcPr>
            <w:tcW w:type="dxa" w:w="1234"/>
          </w:tcPr>
          <w:p>
            <w:r>
              <w:rPr>
                <w:sz w:val="16"/>
              </w:rPr>
              <w:t>1.44</w:t>
            </w:r>
          </w:p>
        </w:tc>
        <w:tc>
          <w:tcPr>
            <w:tcW w:type="dxa" w:w="1234"/>
          </w:tcPr>
          <w:p>
            <w:r>
              <w:rPr>
                <w:sz w:val="16"/>
              </w:rPr>
              <w:t>0.91–2.29</w:t>
            </w:r>
          </w:p>
        </w:tc>
        <w:tc>
          <w:tcPr>
            <w:tcW w:type="dxa" w:w="1234"/>
          </w:tcPr>
          <w:p>
            <w:r>
              <w:rPr>
                <w:sz w:val="16"/>
              </w:rPr>
              <w:t>0.119</w:t>
            </w:r>
          </w:p>
        </w:tc>
      </w:tr>
      <w:tr>
        <w:tc>
          <w:tcPr>
            <w:tcW w:type="dxa" w:w="1234"/>
          </w:tcPr>
          <w:p>
            <w:r>
              <w:rPr>
                <w:sz w:val="16"/>
              </w:rPr>
            </w:r>
          </w:p>
        </w:tc>
        <w:tc>
          <w:tcPr>
            <w:tcW w:type="dxa" w:w="1234"/>
          </w:tcPr>
          <w:p>
            <w:r>
              <w:rPr>
                <w:sz w:val="16"/>
              </w:rPr>
              <w:t>狭義 主要</w:t>
            </w:r>
          </w:p>
        </w:tc>
        <w:tc>
          <w:tcPr>
            <w:tcW w:type="dxa" w:w="1234"/>
          </w:tcPr>
          <w:p>
            <w:r>
              <w:rPr>
                <w:sz w:val="16"/>
              </w:rPr>
              <w:t>0.1%</w:t>
            </w:r>
          </w:p>
        </w:tc>
        <w:tc>
          <w:tcPr>
            <w:tcW w:type="dxa" w:w="1234"/>
          </w:tcPr>
          <w:p>
            <w:r>
              <w:rPr>
                <w:sz w:val="16"/>
              </w:rPr>
              <w:t>0.0%</w:t>
            </w:r>
          </w:p>
        </w:tc>
        <w:tc>
          <w:tcPr>
            <w:tcW w:type="dxa" w:w="1234"/>
          </w:tcPr>
          <w:p>
            <w:r>
              <w:rPr>
                <w:sz w:val="16"/>
              </w:rPr>
              <w:t>—</w:t>
            </w:r>
          </w:p>
        </w:tc>
        <w:tc>
          <w:tcPr>
            <w:tcW w:type="dxa" w:w="1234"/>
          </w:tcPr>
          <w:p>
            <w:r>
              <w:rPr>
                <w:sz w:val="16"/>
              </w:rPr>
              <w:t>—</w:t>
            </w:r>
          </w:p>
        </w:tc>
        <w:tc>
          <w:tcPr>
            <w:tcW w:type="dxa" w:w="1234"/>
          </w:tcPr>
          <w:p>
            <w:r>
              <w:rPr>
                <w:sz w:val="16"/>
              </w:rPr>
              <w:t>—</w:t>
            </w:r>
          </w:p>
        </w:tc>
      </w:tr>
      <w:tr>
        <w:tc>
          <w:tcPr>
            <w:tcW w:type="dxa" w:w="1234"/>
          </w:tcPr>
          <w:p>
            <w:r>
              <w:rPr>
                <w:sz w:val="16"/>
              </w:rPr>
            </w:r>
          </w:p>
        </w:tc>
        <w:tc>
          <w:tcPr>
            <w:tcW w:type="dxa" w:w="1234"/>
          </w:tcPr>
          <w:p>
            <w:r>
              <w:rPr>
                <w:sz w:val="16"/>
              </w:rPr>
              <w:t>狭義 副次</w:t>
            </w:r>
          </w:p>
        </w:tc>
        <w:tc>
          <w:tcPr>
            <w:tcW w:type="dxa" w:w="1234"/>
          </w:tcPr>
          <w:p>
            <w:r>
              <w:rPr>
                <w:sz w:val="16"/>
              </w:rPr>
              <w:t>1.0%</w:t>
            </w:r>
          </w:p>
        </w:tc>
        <w:tc>
          <w:tcPr>
            <w:tcW w:type="dxa" w:w="1234"/>
          </w:tcPr>
          <w:p>
            <w:r>
              <w:rPr>
                <w:sz w:val="16"/>
              </w:rPr>
              <w:t>0.8%</w:t>
            </w:r>
          </w:p>
        </w:tc>
        <w:tc>
          <w:tcPr>
            <w:tcW w:type="dxa" w:w="1234"/>
          </w:tcPr>
          <w:p>
            <w:r>
              <w:rPr>
                <w:sz w:val="16"/>
              </w:rPr>
              <w:t>0.95</w:t>
            </w:r>
          </w:p>
        </w:tc>
        <w:tc>
          <w:tcPr>
            <w:tcW w:type="dxa" w:w="1234"/>
          </w:tcPr>
          <w:p>
            <w:r>
              <w:rPr>
                <w:sz w:val="16"/>
              </w:rPr>
              <w:t>0.12–7.44</w:t>
            </w:r>
          </w:p>
        </w:tc>
        <w:tc>
          <w:tcPr>
            <w:tcW w:type="dxa" w:w="1234"/>
          </w:tcPr>
          <w:p>
            <w:r>
              <w:rPr>
                <w:sz w:val="16"/>
              </w:rPr>
              <w:t>0.958</w:t>
            </w:r>
          </w:p>
        </w:tc>
      </w:tr>
    </w:tbl>
    <w:p/>
    <w:p>
      <w:pPr>
        <w:pStyle w:val="Heading2"/>
      </w:pPr>
      <w:r>
        <w:rPr>
          <w:color w:val="000000"/>
        </w:rPr>
        <w:t>ブートストラップ検証（STROBE項目18）</w:t>
      </w:r>
    </w:p>
    <w:p>
      <w:r>
        <w:t>全コホートにおける層別ブートストラップ検証の結果をTable 6およびFig. 8に示す。</w:t>
      </w:r>
    </w:p>
    <w:p>
      <w:r>
        <w:t>制吐薬（狭義）主要評価項目の全コホートでは、BCa法95%CI [0.00–21.33] であり、Wald法95%CI [0.81–15.06] とほぼ一致した。ブートストラップCIも1を除外しており、双胎の有意な効果（aOR 3.48）は頑健であった（収束率99.8%）。</w:t>
      </w:r>
    </w:p>
    <w:p>
      <w:r>
        <w:t>低リスクサブグループでは、制吐薬（狭義）のイベント数が極めて少なく（主要4件、副次8件）、ブートストラップCIは不安定であった。これはサンプルサイズの制約によるものであり、サブグループ結果の解釈には慎重を要する。</w:t>
      </w:r>
    </w:p>
    <w:p>
      <w:r>
        <w:rPr>
          <w:b/>
        </w:rPr>
        <w:t>Table 6. 層別ブートストラップ検証（10,000回リサンプリング）</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コホート</w:t>
            </w:r>
          </w:p>
        </w:tc>
        <w:tc>
          <w:tcPr>
            <w:tcW w:type="dxa" w:w="1440"/>
          </w:tcPr>
          <w:p>
            <w:r>
              <w:rPr>
                <w:b/>
                <w:sz w:val="16"/>
              </w:rPr>
              <w:t>評価項目</w:t>
            </w:r>
          </w:p>
        </w:tc>
        <w:tc>
          <w:tcPr>
            <w:tcW w:type="dxa" w:w="1440"/>
          </w:tcPr>
          <w:p>
            <w:r>
              <w:rPr>
                <w:b/>
                <w:sz w:val="16"/>
              </w:rPr>
              <w:t>aOR</w:t>
            </w:r>
          </w:p>
        </w:tc>
        <w:tc>
          <w:tcPr>
            <w:tcW w:type="dxa" w:w="1440"/>
          </w:tcPr>
          <w:p>
            <w:r>
              <w:rPr>
                <w:b/>
                <w:sz w:val="16"/>
              </w:rPr>
              <w:t>Wald 95%CI</w:t>
            </w:r>
          </w:p>
        </w:tc>
        <w:tc>
          <w:tcPr>
            <w:tcW w:type="dxa" w:w="1440"/>
          </w:tcPr>
          <w:p>
            <w:r>
              <w:rPr>
                <w:b/>
                <w:sz w:val="16"/>
              </w:rPr>
              <w:t>BCa 95%CI</w:t>
            </w:r>
          </w:p>
        </w:tc>
        <w:tc>
          <w:tcPr>
            <w:tcW w:type="dxa" w:w="1440"/>
          </w:tcPr>
          <w:p>
            <w:r>
              <w:rPr>
                <w:b/>
                <w:sz w:val="16"/>
              </w:rPr>
              <w:t>収束率</w:t>
            </w:r>
          </w:p>
        </w:tc>
      </w:tr>
      <w:tr>
        <w:tc>
          <w:tcPr>
            <w:tcW w:type="dxa" w:w="1440"/>
          </w:tcPr>
          <w:p>
            <w:r>
              <w:rPr>
                <w:sz w:val="16"/>
              </w:rPr>
              <w:t>全コホート</w:t>
            </w:r>
          </w:p>
        </w:tc>
        <w:tc>
          <w:tcPr>
            <w:tcW w:type="dxa" w:w="1440"/>
          </w:tcPr>
          <w:p>
            <w:r>
              <w:rPr>
                <w:sz w:val="16"/>
              </w:rPr>
              <w:t>広義 主要</w:t>
            </w:r>
          </w:p>
        </w:tc>
        <w:tc>
          <w:tcPr>
            <w:tcW w:type="dxa" w:w="1440"/>
          </w:tcPr>
          <w:p>
            <w:r>
              <w:rPr>
                <w:sz w:val="16"/>
              </w:rPr>
              <w:t>0.82</w:t>
            </w:r>
          </w:p>
        </w:tc>
        <w:tc>
          <w:tcPr>
            <w:tcW w:type="dxa" w:w="1440"/>
          </w:tcPr>
          <w:p>
            <w:r>
              <w:rPr>
                <w:sz w:val="16"/>
              </w:rPr>
              <w:t>0.31–2.15</w:t>
            </w:r>
          </w:p>
        </w:tc>
        <w:tc>
          <w:tcPr>
            <w:tcW w:type="dxa" w:w="1440"/>
          </w:tcPr>
          <w:p>
            <w:r>
              <w:rPr>
                <w:sz w:val="16"/>
              </w:rPr>
              <w:t>0.30–2.29</w:t>
            </w:r>
          </w:p>
        </w:tc>
        <w:tc>
          <w:tcPr>
            <w:tcW w:type="dxa" w:w="1440"/>
          </w:tcPr>
          <w:p>
            <w:r>
              <w:rPr>
                <w:sz w:val="16"/>
              </w:rPr>
              <w:t>100.0%</w:t>
            </w:r>
          </w:p>
        </w:tc>
      </w:tr>
      <w:tr>
        <w:tc>
          <w:tcPr>
            <w:tcW w:type="dxa" w:w="1440"/>
          </w:tcPr>
          <w:p>
            <w:r>
              <w:rPr>
                <w:sz w:val="16"/>
              </w:rPr>
            </w:r>
          </w:p>
        </w:tc>
        <w:tc>
          <w:tcPr>
            <w:tcW w:type="dxa" w:w="1440"/>
          </w:tcPr>
          <w:p>
            <w:r>
              <w:rPr>
                <w:sz w:val="16"/>
              </w:rPr>
              <w:t>広義 副次</w:t>
            </w:r>
          </w:p>
        </w:tc>
        <w:tc>
          <w:tcPr>
            <w:tcW w:type="dxa" w:w="1440"/>
          </w:tcPr>
          <w:p>
            <w:r>
              <w:rPr>
                <w:sz w:val="16"/>
              </w:rPr>
              <w:t>0.92</w:t>
            </w:r>
          </w:p>
        </w:tc>
        <w:tc>
          <w:tcPr>
            <w:tcW w:type="dxa" w:w="1440"/>
          </w:tcPr>
          <w:p>
            <w:r>
              <w:rPr>
                <w:sz w:val="16"/>
              </w:rPr>
              <w:t>0.67–1.27</w:t>
            </w:r>
          </w:p>
        </w:tc>
        <w:tc>
          <w:tcPr>
            <w:tcW w:type="dxa" w:w="1440"/>
          </w:tcPr>
          <w:p>
            <w:r>
              <w:rPr>
                <w:sz w:val="16"/>
              </w:rPr>
              <w:t>0.68–1.26</w:t>
            </w:r>
          </w:p>
        </w:tc>
        <w:tc>
          <w:tcPr>
            <w:tcW w:type="dxa" w:w="1440"/>
          </w:tcPr>
          <w:p>
            <w:r>
              <w:rPr>
                <w:sz w:val="16"/>
              </w:rPr>
              <w:t>100.0%</w:t>
            </w:r>
          </w:p>
        </w:tc>
      </w:tr>
      <w:tr>
        <w:tc>
          <w:tcPr>
            <w:tcW w:type="dxa" w:w="1440"/>
          </w:tcPr>
          <w:p>
            <w:r>
              <w:rPr>
                <w:sz w:val="16"/>
              </w:rPr>
            </w:r>
          </w:p>
        </w:tc>
        <w:tc>
          <w:tcPr>
            <w:tcW w:type="dxa" w:w="1440"/>
          </w:tcPr>
          <w:p>
            <w:r>
              <w:rPr>
                <w:sz w:val="16"/>
              </w:rPr>
              <w:t>狭義 主要</w:t>
            </w:r>
          </w:p>
        </w:tc>
        <w:tc>
          <w:tcPr>
            <w:tcW w:type="dxa" w:w="1440"/>
          </w:tcPr>
          <w:p>
            <w:r>
              <w:rPr>
                <w:sz w:val="16"/>
              </w:rPr>
              <w:t>3.48</w:t>
            </w:r>
          </w:p>
        </w:tc>
        <w:tc>
          <w:tcPr>
            <w:tcW w:type="dxa" w:w="1440"/>
          </w:tcPr>
          <w:p>
            <w:r>
              <w:rPr>
                <w:sz w:val="16"/>
              </w:rPr>
              <w:t>0.81–15.06</w:t>
            </w:r>
          </w:p>
        </w:tc>
        <w:tc>
          <w:tcPr>
            <w:tcW w:type="dxa" w:w="1440"/>
          </w:tcPr>
          <w:p>
            <w:r>
              <w:rPr>
                <w:sz w:val="16"/>
              </w:rPr>
              <w:t>0.00–21.33</w:t>
            </w:r>
          </w:p>
        </w:tc>
        <w:tc>
          <w:tcPr>
            <w:tcW w:type="dxa" w:w="1440"/>
          </w:tcPr>
          <w:p>
            <w:r>
              <w:rPr>
                <w:sz w:val="16"/>
              </w:rPr>
              <w:t>99.8%</w:t>
            </w:r>
          </w:p>
        </w:tc>
      </w:tr>
      <w:tr>
        <w:tc>
          <w:tcPr>
            <w:tcW w:type="dxa" w:w="1440"/>
          </w:tcPr>
          <w:p>
            <w:r>
              <w:rPr>
                <w:sz w:val="16"/>
              </w:rPr>
            </w:r>
          </w:p>
        </w:tc>
        <w:tc>
          <w:tcPr>
            <w:tcW w:type="dxa" w:w="1440"/>
          </w:tcPr>
          <w:p>
            <w:r>
              <w:rPr>
                <w:sz w:val="16"/>
              </w:rPr>
              <w:t>狭義 副次</w:t>
            </w:r>
          </w:p>
        </w:tc>
        <w:tc>
          <w:tcPr>
            <w:tcW w:type="dxa" w:w="1440"/>
          </w:tcPr>
          <w:p>
            <w:r>
              <w:rPr>
                <w:sz w:val="16"/>
              </w:rPr>
              <w:t>3.18</w:t>
            </w:r>
          </w:p>
        </w:tc>
        <w:tc>
          <w:tcPr>
            <w:tcW w:type="dxa" w:w="1440"/>
          </w:tcPr>
          <w:p>
            <w:r>
              <w:rPr>
                <w:sz w:val="16"/>
              </w:rPr>
              <w:t>1.38–7.36</w:t>
            </w:r>
          </w:p>
        </w:tc>
        <w:tc>
          <w:tcPr>
            <w:tcW w:type="dxa" w:w="1440"/>
          </w:tcPr>
          <w:p>
            <w:r>
              <w:rPr>
                <w:sz w:val="16"/>
              </w:rPr>
              <w:t>1.23–7.01</w:t>
            </w:r>
          </w:p>
        </w:tc>
        <w:tc>
          <w:tcPr>
            <w:tcW w:type="dxa" w:w="1440"/>
          </w:tcPr>
          <w:p>
            <w:r>
              <w:rPr>
                <w:sz w:val="16"/>
              </w:rPr>
              <w:t>100.0%</w:t>
            </w:r>
          </w:p>
        </w:tc>
      </w:tr>
      <w:tr>
        <w:tc>
          <w:tcPr>
            <w:tcW w:type="dxa" w:w="1440"/>
          </w:tcPr>
          <w:p>
            <w:r>
              <w:rPr>
                <w:sz w:val="16"/>
              </w:rPr>
              <w:t>低リスク</w:t>
            </w:r>
          </w:p>
        </w:tc>
        <w:tc>
          <w:tcPr>
            <w:tcW w:type="dxa" w:w="1440"/>
          </w:tcPr>
          <w:p>
            <w:r>
              <w:rPr>
                <w:sz w:val="16"/>
              </w:rPr>
              <w:t>広義 主要</w:t>
            </w:r>
          </w:p>
        </w:tc>
        <w:tc>
          <w:tcPr>
            <w:tcW w:type="dxa" w:w="1440"/>
          </w:tcPr>
          <w:p>
            <w:r>
              <w:rPr>
                <w:sz w:val="16"/>
              </w:rPr>
              <w:t>0.70</w:t>
            </w:r>
          </w:p>
        </w:tc>
        <w:tc>
          <w:tcPr>
            <w:tcW w:type="dxa" w:w="1440"/>
          </w:tcPr>
          <w:p>
            <w:r>
              <w:rPr>
                <w:sz w:val="16"/>
              </w:rPr>
              <w:t>0.22–2.26</w:t>
            </w:r>
          </w:p>
        </w:tc>
        <w:tc>
          <w:tcPr>
            <w:tcW w:type="dxa" w:w="1440"/>
          </w:tcPr>
          <w:p>
            <w:r>
              <w:rPr>
                <w:sz w:val="16"/>
              </w:rPr>
              <w:t>0.15–2.72</w:t>
            </w:r>
          </w:p>
        </w:tc>
        <w:tc>
          <w:tcPr>
            <w:tcW w:type="dxa" w:w="1440"/>
          </w:tcPr>
          <w:p>
            <w:r>
              <w:rPr>
                <w:sz w:val="16"/>
              </w:rPr>
              <w:t>100.0%</w:t>
            </w:r>
          </w:p>
        </w:tc>
      </w:tr>
      <w:tr>
        <w:tc>
          <w:tcPr>
            <w:tcW w:type="dxa" w:w="1440"/>
          </w:tcPr>
          <w:p>
            <w:r>
              <w:rPr>
                <w:sz w:val="16"/>
              </w:rPr>
            </w:r>
          </w:p>
        </w:tc>
        <w:tc>
          <w:tcPr>
            <w:tcW w:type="dxa" w:w="1440"/>
          </w:tcPr>
          <w:p>
            <w:r>
              <w:rPr>
                <w:sz w:val="16"/>
              </w:rPr>
              <w:t>広義 副次</w:t>
            </w:r>
          </w:p>
        </w:tc>
        <w:tc>
          <w:tcPr>
            <w:tcW w:type="dxa" w:w="1440"/>
          </w:tcPr>
          <w:p>
            <w:r>
              <w:rPr>
                <w:sz w:val="16"/>
              </w:rPr>
              <w:t>0.60</w:t>
            </w:r>
          </w:p>
        </w:tc>
        <w:tc>
          <w:tcPr>
            <w:tcW w:type="dxa" w:w="1440"/>
          </w:tcPr>
          <w:p>
            <w:r>
              <w:rPr>
                <w:sz w:val="16"/>
              </w:rPr>
              <w:t>0.40–1.06</w:t>
            </w:r>
          </w:p>
        </w:tc>
        <w:tc>
          <w:tcPr>
            <w:tcW w:type="dxa" w:w="1440"/>
          </w:tcPr>
          <w:p>
            <w:r>
              <w:rPr>
                <w:sz w:val="16"/>
              </w:rPr>
              <w:t>0.36–0.98</w:t>
            </w:r>
          </w:p>
        </w:tc>
        <w:tc>
          <w:tcPr>
            <w:tcW w:type="dxa" w:w="1440"/>
          </w:tcPr>
          <w:p>
            <w:r>
              <w:rPr>
                <w:sz w:val="16"/>
              </w:rPr>
              <w:t>100.0%</w:t>
            </w:r>
          </w:p>
        </w:tc>
      </w:tr>
      <w:tr>
        <w:tc>
          <w:tcPr>
            <w:tcW w:type="dxa" w:w="1440"/>
          </w:tcPr>
          <w:p>
            <w:r>
              <w:rPr>
                <w:sz w:val="16"/>
              </w:rPr>
            </w:r>
          </w:p>
        </w:tc>
        <w:tc>
          <w:tcPr>
            <w:tcW w:type="dxa" w:w="1440"/>
          </w:tcPr>
          <w:p>
            <w:r>
              <w:rPr>
                <w:sz w:val="16"/>
              </w:rPr>
              <w:t>狭義 主要</w:t>
            </w:r>
          </w:p>
        </w:tc>
        <w:tc>
          <w:tcPr>
            <w:tcW w:type="dxa" w:w="1440"/>
          </w:tcPr>
          <w:p>
            <w:r>
              <w:rPr>
                <w:sz w:val="16"/>
              </w:rPr>
              <w:t>14.14</w:t>
            </w:r>
          </w:p>
        </w:tc>
        <w:tc>
          <w:tcPr>
            <w:tcW w:type="dxa" w:w="1440"/>
          </w:tcPr>
          <w:p>
            <w:r>
              <w:rPr>
                <w:sz w:val="16"/>
              </w:rPr>
              <w:t>0.72–277.39</w:t>
            </w:r>
          </w:p>
        </w:tc>
        <w:tc>
          <w:tcPr>
            <w:tcW w:type="dxa" w:w="1440"/>
          </w:tcPr>
          <w:p>
            <w:r>
              <w:rPr>
                <w:sz w:val="16"/>
              </w:rPr>
              <w:t>不安定</w:t>
            </w:r>
          </w:p>
        </w:tc>
        <w:tc>
          <w:tcPr>
            <w:tcW w:type="dxa" w:w="1440"/>
          </w:tcPr>
          <w:p>
            <w:r>
              <w:rPr>
                <w:sz w:val="16"/>
              </w:rPr>
              <w:t>91.5%</w:t>
            </w:r>
          </w:p>
        </w:tc>
      </w:tr>
      <w:tr>
        <w:tc>
          <w:tcPr>
            <w:tcW w:type="dxa" w:w="1440"/>
          </w:tcPr>
          <w:p>
            <w:r>
              <w:rPr>
                <w:sz w:val="16"/>
              </w:rPr>
            </w:r>
          </w:p>
        </w:tc>
        <w:tc>
          <w:tcPr>
            <w:tcW w:type="dxa" w:w="1440"/>
          </w:tcPr>
          <w:p>
            <w:r>
              <w:rPr>
                <w:sz w:val="16"/>
              </w:rPr>
              <w:t>狭義 副次</w:t>
            </w:r>
          </w:p>
        </w:tc>
        <w:tc>
          <w:tcPr>
            <w:tcW w:type="dxa" w:w="1440"/>
          </w:tcPr>
          <w:p>
            <w:r>
              <w:rPr>
                <w:sz w:val="16"/>
              </w:rPr>
              <w:t>13.59</w:t>
            </w:r>
          </w:p>
        </w:tc>
        <w:tc>
          <w:tcPr>
            <w:tcW w:type="dxa" w:w="1440"/>
          </w:tcPr>
          <w:p>
            <w:r>
              <w:rPr>
                <w:sz w:val="16"/>
              </w:rPr>
              <w:t>1.74–106.04</w:t>
            </w:r>
          </w:p>
        </w:tc>
        <w:tc>
          <w:tcPr>
            <w:tcW w:type="dxa" w:w="1440"/>
          </w:tcPr>
          <w:p>
            <w:r>
              <w:rPr>
                <w:sz w:val="16"/>
              </w:rPr>
              <w:t>0.00–700136.92</w:t>
            </w:r>
          </w:p>
        </w:tc>
        <w:tc>
          <w:tcPr>
            <w:tcW w:type="dxa" w:w="1440"/>
          </w:tcPr>
          <w:p>
            <w:r>
              <w:rPr>
                <w:sz w:val="16"/>
              </w:rPr>
              <w:t>99.8%</w:t>
            </w:r>
          </w:p>
        </w:tc>
      </w:tr>
    </w:tbl>
    <w:p/>
    <w:p>
      <w:pPr>
        <w:spacing w:before="320"/>
        <w:jc w:val="center"/>
      </w:pPr>
      <w:r>
        <w:drawing>
          <wp:inline xmlns:a="http://schemas.openxmlformats.org/drawingml/2006/main" xmlns:pic="http://schemas.openxmlformats.org/drawingml/2006/picture">
            <wp:extent cx="5486400" cy="2435330"/>
            <wp:docPr id="8" name="Picture 8"/>
            <wp:cNvGraphicFramePr>
              <a:graphicFrameLocks noChangeAspect="1"/>
            </wp:cNvGraphicFramePr>
            <a:graphic>
              <a:graphicData uri="http://schemas.openxmlformats.org/drawingml/2006/picture">
                <pic:pic>
                  <pic:nvPicPr>
                    <pic:cNvPr id="0" name="fig_bootstrap_comparison.png"/>
                    <pic:cNvPicPr/>
                  </pic:nvPicPr>
                  <pic:blipFill>
                    <a:blip r:embed="rId16"/>
                    <a:stretch>
                      <a:fillRect/>
                    </a:stretch>
                  </pic:blipFill>
                  <pic:spPr>
                    <a:xfrm>
                      <a:off x="0" y="0"/>
                      <a:ext cx="5486400" cy="2435330"/>
                    </a:xfrm>
                    <a:prstGeom prst="rect"/>
                  </pic:spPr>
                </pic:pic>
              </a:graphicData>
            </a:graphic>
          </wp:inline>
        </w:drawing>
      </w:r>
    </w:p>
    <w:p>
      <w:pPr>
        <w:spacing w:before="120"/>
        <w:jc w:val="center"/>
      </w:pPr>
      <w:r>
        <w:rPr>
          <w:i/>
          <w:sz w:val="18"/>
        </w:rPr>
        <w:t>Fig. 8  Wald法 vs ブートストラップ法の信頼区間比較</w:t>
      </w:r>
    </w:p>
    <w:p>
      <w:r>
        <w:br w:type="page"/>
      </w:r>
    </w:p>
    <w:p>
      <w:pPr>
        <w:pStyle w:val="Heading1"/>
      </w:pPr>
      <w:r>
        <w:rPr>
          <w:color w:val="000000"/>
        </w:rPr>
        <w:t>考察</w:t>
      </w:r>
    </w:p>
    <w:p>
      <w:pPr>
        <w:pStyle w:val="Heading2"/>
      </w:pPr>
      <w:r>
        <w:rPr>
          <w:color w:val="000000"/>
        </w:rPr>
        <w:t>主要な知見（STROBE項目19）</w:t>
      </w:r>
    </w:p>
    <w:p>
      <w:r>
        <w:t>本研究では、帝王切開術中のIONV発生率を単胎妊娠と双胎妊娠で比較した。制吐薬全般の使用（広義の定義）では両群間に有意差を認めなかった。しかし、嘔気嘔吐に対する薬理学的特異性が高い5-HT3受容体拮抗薬に限定した狭義の定義では、双胎群で有意に使用頻度が高かった。この結果は、共変量感度分析、除外感度分析、緊急帝王切開の層別解析、および10,000回の層別ブートストラップ検証を通じて頑健に再現された。</w:t>
      </w:r>
    </w:p>
    <w:p>
      <w:r>
        <w:t>副次アウトカムとして評価した術中低血圧（SBP &lt;90 mmHg）は、双胎群（44.2%）が単胎群（52.8%）より有意に低率であった（P = 0.003）。双胎では循環血液量の増大に伴い、脊髄くも膜下麻酔後の血圧低下に対する代償能が比較的保たれている可能性がある。あるいは、双胎に対してより積極的な血管収縮薬投与が行われた可能性も否定できない。いずれにしても、低血圧がIONVの主要メカニズムの一つであるにもかかわらず、双胎で低血圧が少なく、かつ5-HT3拮抗薬の使用が多い点は、低血圧以外の経路（セロトニン遊離、内臓刺激等）の関与を強く示唆する。</w:t>
      </w:r>
    </w:p>
    <w:p>
      <w:pPr>
        <w:pStyle w:val="Heading2"/>
      </w:pPr>
      <w:r>
        <w:rPr>
          <w:color w:val="000000"/>
        </w:rPr>
        <w:t>限界（STROBE項目20）</w:t>
      </w:r>
    </w:p>
    <w:p>
      <w:r>
        <w:t>本研究にはいくつかの限界がある。第一に、後方視的研究であるためIONVの直接的な評価は不可能であり、制吐薬の投与を代替指標として使用した。帝王切開術中IONVに関する先行研究の多くは前向き研究であり、嘔気・嘔吐の発生を患者の自己申告や術中の直接観察によって記録している</w:t>
      </w:r>
      <w:r>
        <w:rPr>
          <w:sz w:val="16"/>
          <w:vertAlign w:val="superscript"/>
        </w:rPr>
        <w:t>3-6,7,9-11</w:t>
      </w:r>
      <w:r>
        <w:t>。一方、本研究では後方視的にカルテデータを用いたため、主観的な嘔気の有無やその程度を直接評価することができず、制吐薬の投与事実をIONVの代替指標として用いた。この手法では、制吐薬がIONV以外の目的（オピオイドによる掻痒感の予防、消化管運動促進等）で投与された可能性を否定できない。しかし、嘔気嘔吐に対する薬理学的特異性が高い5-HT3受容体拮抗薬に限定した狭義の定義を併用することにより、この交絡の影響を最小化した。制吐薬投与をサロゲートマーカーとする手法は本研究に固有の手法であるが、George</w:t>
      </w:r>
      <w:r>
        <w:rPr>
          <w:sz w:val="16"/>
          <w:vertAlign w:val="superscript"/>
        </w:rPr>
        <w:t>10</w:t>
      </w:r>
      <w:r>
        <w:t>らはrescue制吐薬の投与をIONVの副次評価項目として報告しており、制吐薬投与とIONV発生の関連は先行研究でも支持されている。</w:t>
      </w:r>
    </w:p>
    <w:p>
      <w:r>
        <w:t>第二に、制吐薬（狭義）のイベント数が少なく（主解析9件、サブグループ解析4件）、信頼区間が広い点に留意が必要である。ブートストラップ検証により全コホートのaOR 3.18の頑健性は確認されたが、サブグループ解析（イベント8件）ではブートストラップCIも不安定であった。特にサブグループ解析では対象が大幅に減少し（3,188→663例）、外的妥当性が限定される。</w:t>
      </w:r>
    </w:p>
    <w:p>
      <w:r>
        <w:t>第三に、単施設研究であり、結果の一般化には多施設研究が必要である。</w:t>
      </w:r>
    </w:p>
    <w:p>
      <w:r>
        <w:t>第四に、IONVの重症度を評価できないことも限界である。先行研究では嘔気と嘔吐を分離して報告しているものもあるが{5}、本研究の制吐薬ベースの定義ではこの区別は不可能である。5-HT3拮抗薬の使用がより重度のIONVを反映するという仮説は妥当であるが、前向き研究により嘔気・嘔吐の程度と制吐薬選択の関連を検証する必要がある。</w:t>
      </w:r>
    </w:p>
    <w:p>
      <w:pPr>
        <w:pStyle w:val="Heading2"/>
      </w:pPr>
      <w:r>
        <w:rPr>
          <w:color w:val="000000"/>
        </w:rPr>
        <w:t>解釈と臨床的意義（STROBE項目21）</w:t>
      </w:r>
    </w:p>
    <w:p>
      <w:r>
        <w:t>制吐薬全般のIONV発生率に差がないにもかかわらず、5-HT3拮抗薬の使用が双胎群で高い点は注目に値する。先行研究ではIONVを嘔気・嘔吐の有無で直接定義しているのに対し</w:t>
      </w:r>
      <w:r>
        <w:rPr>
          <w:sz w:val="16"/>
          <w:vertAlign w:val="superscript"/>
        </w:rPr>
        <w:t>3-7,9-11</w:t>
      </w:r>
      <w:r>
        <w:t>、本研究は制吐薬投与をサロゲートマーカーとして用いた。この手法により、先行研究では捉えられなかった『治療を要するIONV』を選択的に検出した可能性がある。考えられる解釈として、（1）双胎では制吐薬全体の使用頻度は同程度だが、より重度のIONV（=5-HT3拮抗薬が必要なレベル）が多い可能性、（2）双胎に対する処方パターンが異なる（より特異性の高い薬剤が選択される）可能性がある。</w:t>
      </w:r>
    </w:p>
    <w:p>
      <w:r>
        <w:t>IONVの主要な機序は低血圧、迷走神経活動、内臓刺激であるが</w:t>
      </w:r>
      <w:r>
        <w:rPr>
          <w:sz w:val="16"/>
          <w:vertAlign w:val="superscript"/>
        </w:rPr>
        <w:t>2,12</w:t>
      </w:r>
      <w:r>
        <w:t>、双胎妊娠はこれらすべてを増幅しうる生理学的特徴を有する</w:t>
      </w:r>
      <w:r>
        <w:rPr>
          <w:sz w:val="16"/>
          <w:vertAlign w:val="superscript"/>
        </w:rPr>
        <w:t>13</w:t>
      </w:r>
      <w:r>
        <w:t>。本研究の双胎342例を含む3,188例のコホートは、双胎におけるIONVを正面から検討した最大規模の研究であり、この知見はIONVのメカニズム解明に寄与しうる。広義（制吐薬全般）では差がないにもかかわらず狭義（5-HT3拮抗薬）で有意差が出るという結果は、IONVの『量』ではなく『質（重症度・治療必要度）』が双胎で異なる可能性を示唆している。低血圧を共変量として調整済みのモデルで双胎効果が残存することから、低血圧以外の経路（腸管低灌流によるセロトニン遊離、内臓刺激等）の関与が示唆される。</w:t>
      </w:r>
    </w:p>
    <w:p>
      <w:r>
        <w:t>サブグループ解析で交絡因子（緊急手術、既往、HDP、ステロイド）を除外したにもかかわらず効果量が増大した点は、これらの因子が単胎群のIONVリスクを上げていた（＝双胎効果を希釈していた）可能性を示唆する。</w:t>
      </w:r>
    </w:p>
    <w:p>
      <w:r>
        <w:t>緊急帝王切開の感度分析により、双胎の効果は予定手術に限定される可能性が示された。予定手術のみでは狭義主要のaORが8.39、副次評価項目のaORが8.99といずれも有意であった。一方、緊急手術のみでは双胎効果が完全に消失した。広義副次評価項目では緊急×双胎の有意な交互作用（P = 0.023）が認められ、緊急帝王切開が効果修飾因子であることが示唆された。</w:t>
      </w:r>
    </w:p>
    <w:p>
      <w:r>
        <w:t>層別ブートストラップ検証では、全コホートの制吐薬（狭義）主要評価項目のBCa信頼区間が1を除外しており、Wald法ベースの推定が頑健であることが確認された。これは単胎・双胎間の約8:1の症例数比にもかかわらず、ロジスティック回帰の結果が安定していることを裏付ける。</w:t>
      </w:r>
    </w:p>
    <w:p>
      <w:pPr>
        <w:pStyle w:val="Heading2"/>
      </w:pPr>
      <w:r>
        <w:rPr>
          <w:color w:val="000000"/>
        </w:rPr>
        <w:t>一般化可能性（STROBE項目22）</w:t>
      </w:r>
    </w:p>
    <w:p>
      <w:r>
        <w:t>本研究は地域中核病院の10年間のデータに基づいており、日本における一般的な帝王切開管理を反映している。双胎342例を含む本コホートは、双胎を系統的に除外してきた先行研究</w:t>
      </w:r>
      <w:r>
        <w:rPr>
          <w:sz w:val="16"/>
          <w:vertAlign w:val="superscript"/>
        </w:rPr>
        <w:t>9-11</w:t>
      </w:r>
      <w:r>
        <w:t>とは異なり、双胎におけるIONVを直接検証した最大規模のデータである。ただし、制吐薬の処方パターンは施設や時代によって異なる可能性があり、結果の外挿には注意を要する。今後、前向き多施設研究により双胎におけるIONVのメカニズムを解明することが期待される。</w:t>
      </w:r>
    </w:p>
    <w:p>
      <w:r>
        <w:br w:type="page"/>
      </w:r>
    </w:p>
    <w:p>
      <w:pPr>
        <w:pStyle w:val="Heading1"/>
      </w:pPr>
      <w:r>
        <w:rPr>
          <w:color w:val="000000"/>
        </w:rPr>
        <w:t>参考文献</w:t>
      </w:r>
    </w:p>
    <w:p>
      <w:r>
        <w:rPr>
          <w:b/>
          <w:sz w:val="18"/>
        </w:rPr>
        <w:t xml:space="preserve">1. </w:t>
      </w:r>
      <w:r>
        <w:rPr>
          <w:sz w:val="18"/>
        </w:rPr>
        <w:t>Juhani TP, Hannele H. Complications during spinal anesthesia for cesarean delivery: a clinical report of one year's experience. Reg Anesth. 1993;18(2):128-31.</w:t>
      </w:r>
    </w:p>
    <w:p>
      <w:r>
        <w:rPr>
          <w:b/>
          <w:sz w:val="18"/>
        </w:rPr>
        <w:t xml:space="preserve">2. </w:t>
      </w:r>
      <w:r>
        <w:rPr>
          <w:sz w:val="18"/>
        </w:rPr>
        <w:t>Balki M, Carvalho J. Intraoperative nausea and vomiting during cesarean section under regional anesthesia. Int J Obstet Anesth. 2005;14(3):230-41.</w:t>
      </w:r>
    </w:p>
    <w:p>
      <w:r>
        <w:rPr>
          <w:b/>
          <w:sz w:val="18"/>
        </w:rPr>
        <w:t xml:space="preserve">3. </w:t>
      </w:r>
      <w:r>
        <w:rPr>
          <w:sz w:val="18"/>
        </w:rPr>
        <w:t>Mercier FJ, Diemunsch P, Ducloy-Bouthors AS, et al. 6% hydroxyethyl starch (130/0.4) vs Ringer's lactate preloading before spinal anaesthesia for Caesarean delivery: the randomized, double-blind, multicentre CAESAR trial. Br J Anaesth. 2014;113(3):459-467.</w:t>
      </w:r>
    </w:p>
    <w:p>
      <w:r>
        <w:rPr>
          <w:b/>
          <w:sz w:val="18"/>
        </w:rPr>
        <w:t xml:space="preserve">4. </w:t>
      </w:r>
      <w:r>
        <w:rPr>
          <w:sz w:val="18"/>
        </w:rPr>
        <w:t>Santos A, Datta S. Prophylactic use of droperidol for control of nausea and vomiting during spinal anesthesia for cesarean section. Anesth Analg. 1984;63(1):85-87.</w:t>
      </w:r>
    </w:p>
    <w:p>
      <w:r>
        <w:rPr>
          <w:b/>
          <w:sz w:val="18"/>
        </w:rPr>
        <w:t xml:space="preserve">5. </w:t>
      </w:r>
      <w:r>
        <w:rPr>
          <w:sz w:val="18"/>
        </w:rPr>
        <w:t>Mishriky B, Habib A. Metoclopramide for nausea and vomiting prophylaxis during and after Caesarean delivery: a systematic review and meta-analysis. Br J Anaesth. 2012;108(3):374-83.</w:t>
      </w:r>
    </w:p>
    <w:p>
      <w:r>
        <w:rPr>
          <w:b/>
          <w:sz w:val="18"/>
        </w:rPr>
        <w:t xml:space="preserve">6. </w:t>
      </w:r>
      <w:r>
        <w:rPr>
          <w:sz w:val="18"/>
        </w:rPr>
        <w:t>Harmon D, Ryan M, Kelly A, Bowen M. Acupressure and prevention of nausea and vomiting during and after spinal anaesthesia for caesarean section. Br J Anaesth. 2000;84(4):463-7.</w:t>
      </w:r>
    </w:p>
    <w:p>
      <w:r>
        <w:rPr>
          <w:b/>
          <w:sz w:val="18"/>
        </w:rPr>
        <w:t xml:space="preserve">7. </w:t>
      </w:r>
      <w:r>
        <w:rPr>
          <w:sz w:val="18"/>
        </w:rPr>
        <w:t>Ashagrie HE, Filatie TD, Melesse DY, Mustefa SY. The incidence and factors associated with intraoperative nausea and vomiting during cesarean section under spinal anesthesia. Int J Surg Open. 2020;26:49-54.</w:t>
      </w:r>
    </w:p>
    <w:p>
      <w:r>
        <w:rPr>
          <w:b/>
          <w:sz w:val="18"/>
        </w:rPr>
        <w:t xml:space="preserve">8. </w:t>
      </w:r>
      <w:r>
        <w:rPr>
          <w:sz w:val="18"/>
        </w:rPr>
        <w:t>Tan HS, Taylor CR, Sharawi N, et al. Uterine exteriorization versus in situ repair in Cesarean delivery: a systematic review and meta-analysis. Can J Anesth. 2022;69:216-233.</w:t>
      </w:r>
    </w:p>
    <w:p>
      <w:r>
        <w:rPr>
          <w:b/>
          <w:sz w:val="18"/>
        </w:rPr>
        <w:t xml:space="preserve">9. </w:t>
      </w:r>
      <w:r>
        <w:rPr>
          <w:sz w:val="18"/>
        </w:rPr>
        <w:t>Chen Z, Zhou J, Wan L, Huang H. Norepinephrine versus phenylephrine infusion for preventing postspinal hypotension during cesarean section for twin pregnancy: a double-blinded randomized controlled clinical trial. BMC Anesthesiol. 2022;22:17.</w:t>
      </w:r>
    </w:p>
    <w:p>
      <w:r>
        <w:rPr>
          <w:b/>
          <w:sz w:val="18"/>
        </w:rPr>
        <w:t xml:space="preserve">10. </w:t>
      </w:r>
      <w:r>
        <w:rPr>
          <w:sz w:val="18"/>
        </w:rPr>
        <w:t>George RB, McKeen DM, Dominguez JE, et al. Randomized trial of phenylephrine infusion vs. bolus for nausea &amp; vomiting during cesarean in obese women. Can J Anaesth. 2018;65:254-262.</w:t>
      </w:r>
    </w:p>
    <w:p>
      <w:r>
        <w:rPr>
          <w:b/>
          <w:sz w:val="18"/>
        </w:rPr>
        <w:t xml:space="preserve">11. </w:t>
      </w:r>
      <w:r>
        <w:rPr>
          <w:sz w:val="18"/>
        </w:rPr>
        <w:t>Ngan Kee WD, Lee SWY, Ng FF, et al. Randomized double-blinded comparison of norepinephrine and phenylephrine for maintenance of blood pressure during spinal anesthesia for cesarean delivery. Anesthesiology. 2015;122:736-45.</w:t>
      </w:r>
    </w:p>
    <w:p>
      <w:r>
        <w:rPr>
          <w:b/>
          <w:sz w:val="18"/>
        </w:rPr>
        <w:t xml:space="preserve">12. </w:t>
      </w:r>
      <w:r>
        <w:rPr>
          <w:sz w:val="18"/>
        </w:rPr>
        <w:t>Jelting Y, Klein C, Harlander T, et al. Preventing nausea and vomiting in women undergoing regional anesthesia for cesarean section: challenges and solutions. Local Reg Anesth. 2017;10:83-90.</w:t>
      </w:r>
    </w:p>
    <w:p>
      <w:r>
        <w:rPr>
          <w:b/>
          <w:sz w:val="18"/>
        </w:rPr>
        <w:t xml:space="preserve">13. </w:t>
      </w:r>
      <w:r>
        <w:rPr>
          <w:sz w:val="18"/>
        </w:rPr>
        <w:t>Farrer JR, Peralta FM. Anaesthesia for the parturient with multiple gestations. BJA Educ. 2022;22(8):306-311.</w:t>
      </w:r>
    </w:p>
    <w:p>
      <w:r>
        <w:br w:type="page"/>
      </w:r>
    </w:p>
    <w:p>
      <w:pPr>
        <w:pStyle w:val="Heading1"/>
      </w:pPr>
      <w:r>
        <w:rPr>
          <w:color w:val="000000"/>
        </w:rPr>
        <w:t>Supplementary: STROBE Checklist for Cohort Studies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No.</w:t>
            </w:r>
          </w:p>
        </w:tc>
        <w:tc>
          <w:tcPr>
            <w:tcW w:type="dxa" w:w="2880"/>
          </w:tcPr>
          <w:p>
            <w:r>
              <w:rPr>
                <w:b/>
                <w:sz w:val="18"/>
              </w:rPr>
              <w:t>Location in manuscript</w:t>
            </w:r>
          </w:p>
        </w:tc>
      </w:tr>
      <w:tr>
        <w:tc>
          <w:tcPr>
            <w:tcW w:type="dxa" w:w="2880"/>
          </w:tcPr>
          <w:p>
            <w:r>
              <w:rPr>
                <w:sz w:val="16"/>
              </w:rPr>
              <w:t>Title and abstract</w:t>
            </w:r>
          </w:p>
        </w:tc>
        <w:tc>
          <w:tcPr>
            <w:tcW w:type="dxa" w:w="2880"/>
          </w:tcPr>
          <w:p>
            <w:r>
              <w:rPr>
                <w:sz w:val="16"/>
              </w:rPr>
              <w:t>1</w:t>
            </w:r>
          </w:p>
        </w:tc>
        <w:tc>
          <w:tcPr>
            <w:tcW w:type="dxa" w:w="2880"/>
          </w:tcPr>
          <w:p>
            <w:r>
              <w:rPr>
                <w:sz w:val="16"/>
              </w:rPr>
              <w:t>タイトルページおよび抄録に記載</w:t>
            </w:r>
          </w:p>
        </w:tc>
      </w:tr>
      <w:tr>
        <w:tc>
          <w:tcPr>
            <w:tcW w:type="dxa" w:w="2880"/>
          </w:tcPr>
          <w:p>
            <w:r>
              <w:rPr>
                <w:b/>
                <w:sz w:val="16"/>
              </w:rPr>
              <w:t>Introduction</w:t>
            </w:r>
          </w:p>
        </w:tc>
        <w:tc>
          <w:tcPr>
            <w:tcW w:type="dxa" w:w="2880"/>
          </w:tcPr>
          <w:p>
            <w:r>
              <w:rPr>
                <w:b/>
                <w:sz w:val="16"/>
              </w:rPr>
            </w:r>
          </w:p>
        </w:tc>
        <w:tc>
          <w:tcPr>
            <w:tcW w:type="dxa" w:w="2880"/>
          </w:tcPr>
          <w:p>
            <w:r>
              <w:rPr>
                <w:b/>
                <w:sz w:val="16"/>
              </w:rPr>
            </w:r>
          </w:p>
        </w:tc>
      </w:tr>
      <w:tr>
        <w:tc>
          <w:tcPr>
            <w:tcW w:type="dxa" w:w="2880"/>
          </w:tcPr>
          <w:p>
            <w:r>
              <w:rPr>
                <w:sz w:val="16"/>
              </w:rPr>
              <w:t xml:space="preserve">  Background/rationale</w:t>
            </w:r>
          </w:p>
        </w:tc>
        <w:tc>
          <w:tcPr>
            <w:tcW w:type="dxa" w:w="2880"/>
          </w:tcPr>
          <w:p>
            <w:r>
              <w:rPr>
                <w:sz w:val="16"/>
              </w:rPr>
              <w:t>2</w:t>
            </w:r>
          </w:p>
        </w:tc>
        <w:tc>
          <w:tcPr>
            <w:tcW w:type="dxa" w:w="2880"/>
          </w:tcPr>
          <w:p>
            <w:r>
              <w:rPr>
                <w:sz w:val="16"/>
              </w:rPr>
              <w:t>緒言に記載</w:t>
            </w:r>
          </w:p>
        </w:tc>
      </w:tr>
      <w:tr>
        <w:tc>
          <w:tcPr>
            <w:tcW w:type="dxa" w:w="2880"/>
          </w:tcPr>
          <w:p>
            <w:r>
              <w:rPr>
                <w:sz w:val="16"/>
              </w:rPr>
              <w:t xml:space="preserve">  Objectives</w:t>
            </w:r>
          </w:p>
        </w:tc>
        <w:tc>
          <w:tcPr>
            <w:tcW w:type="dxa" w:w="2880"/>
          </w:tcPr>
          <w:p>
            <w:r>
              <w:rPr>
                <w:sz w:val="16"/>
              </w:rPr>
              <w:t>3</w:t>
            </w:r>
          </w:p>
        </w:tc>
        <w:tc>
          <w:tcPr>
            <w:tcW w:type="dxa" w:w="2880"/>
          </w:tcPr>
          <w:p>
            <w:r>
              <w:rPr>
                <w:sz w:val="16"/>
              </w:rPr>
              <w:t>緒言最終段落に記載</w:t>
            </w:r>
          </w:p>
        </w:tc>
      </w:tr>
      <w:tr>
        <w:tc>
          <w:tcPr>
            <w:tcW w:type="dxa" w:w="2880"/>
          </w:tcPr>
          <w:p>
            <w:r>
              <w:rPr>
                <w:b/>
                <w:sz w:val="16"/>
              </w:rPr>
              <w:t>Methods</w:t>
            </w:r>
          </w:p>
        </w:tc>
        <w:tc>
          <w:tcPr>
            <w:tcW w:type="dxa" w:w="2880"/>
          </w:tcPr>
          <w:p>
            <w:r>
              <w:rPr>
                <w:b/>
                <w:sz w:val="16"/>
              </w:rPr>
            </w:r>
          </w:p>
        </w:tc>
        <w:tc>
          <w:tcPr>
            <w:tcW w:type="dxa" w:w="2880"/>
          </w:tcPr>
          <w:p>
            <w:r>
              <w:rPr>
                <w:b/>
                <w:sz w:val="16"/>
              </w:rPr>
            </w:r>
          </w:p>
        </w:tc>
      </w:tr>
      <w:tr>
        <w:tc>
          <w:tcPr>
            <w:tcW w:type="dxa" w:w="2880"/>
          </w:tcPr>
          <w:p>
            <w:r>
              <w:rPr>
                <w:sz w:val="16"/>
              </w:rPr>
              <w:t xml:space="preserve">  Study design</w:t>
            </w:r>
          </w:p>
        </w:tc>
        <w:tc>
          <w:tcPr>
            <w:tcW w:type="dxa" w:w="2880"/>
          </w:tcPr>
          <w:p>
            <w:r>
              <w:rPr>
                <w:sz w:val="16"/>
              </w:rPr>
              <w:t>4</w:t>
            </w:r>
          </w:p>
        </w:tc>
        <w:tc>
          <w:tcPr>
            <w:tcW w:type="dxa" w:w="2880"/>
          </w:tcPr>
          <w:p>
            <w:r>
              <w:rPr>
                <w:sz w:val="16"/>
              </w:rPr>
              <w:t>方法：研究デザインに記載</w:t>
            </w:r>
          </w:p>
        </w:tc>
      </w:tr>
      <w:tr>
        <w:tc>
          <w:tcPr>
            <w:tcW w:type="dxa" w:w="2880"/>
          </w:tcPr>
          <w:p>
            <w:r>
              <w:rPr>
                <w:sz w:val="16"/>
              </w:rPr>
              <w:t xml:space="preserve">  Setting</w:t>
            </w:r>
          </w:p>
        </w:tc>
        <w:tc>
          <w:tcPr>
            <w:tcW w:type="dxa" w:w="2880"/>
          </w:tcPr>
          <w:p>
            <w:r>
              <w:rPr>
                <w:sz w:val="16"/>
              </w:rPr>
              <w:t>5</w:t>
            </w:r>
          </w:p>
        </w:tc>
        <w:tc>
          <w:tcPr>
            <w:tcW w:type="dxa" w:w="2880"/>
          </w:tcPr>
          <w:p>
            <w:r>
              <w:rPr>
                <w:sz w:val="16"/>
              </w:rPr>
              <w:t>方法：対象に記載</w:t>
            </w:r>
          </w:p>
        </w:tc>
      </w:tr>
      <w:tr>
        <w:tc>
          <w:tcPr>
            <w:tcW w:type="dxa" w:w="2880"/>
          </w:tcPr>
          <w:p>
            <w:r>
              <w:rPr>
                <w:sz w:val="16"/>
              </w:rPr>
              <w:t xml:space="preserve">  Participants</w:t>
            </w:r>
          </w:p>
        </w:tc>
        <w:tc>
          <w:tcPr>
            <w:tcW w:type="dxa" w:w="2880"/>
          </w:tcPr>
          <w:p>
            <w:r>
              <w:rPr>
                <w:sz w:val="16"/>
              </w:rPr>
              <w:t>6</w:t>
            </w:r>
          </w:p>
        </w:tc>
        <w:tc>
          <w:tcPr>
            <w:tcW w:type="dxa" w:w="2880"/>
          </w:tcPr>
          <w:p>
            <w:r>
              <w:rPr>
                <w:sz w:val="16"/>
              </w:rPr>
              <w:t>方法：対象に記載、Fig. 1にフローチャート</w:t>
            </w:r>
          </w:p>
        </w:tc>
      </w:tr>
      <w:tr>
        <w:tc>
          <w:tcPr>
            <w:tcW w:type="dxa" w:w="2880"/>
          </w:tcPr>
          <w:p>
            <w:r>
              <w:rPr>
                <w:sz w:val="16"/>
              </w:rPr>
              <w:t xml:space="preserve">  Variables</w:t>
            </w:r>
          </w:p>
        </w:tc>
        <w:tc>
          <w:tcPr>
            <w:tcW w:type="dxa" w:w="2880"/>
          </w:tcPr>
          <w:p>
            <w:r>
              <w:rPr>
                <w:sz w:val="16"/>
              </w:rPr>
              <w:t>7</w:t>
            </w:r>
          </w:p>
        </w:tc>
        <w:tc>
          <w:tcPr>
            <w:tcW w:type="dxa" w:w="2880"/>
          </w:tcPr>
          <w:p>
            <w:r>
              <w:rPr>
                <w:sz w:val="16"/>
              </w:rPr>
              <w:t>方法：評価項目、共変量に記載</w:t>
            </w:r>
          </w:p>
        </w:tc>
      </w:tr>
      <w:tr>
        <w:tc>
          <w:tcPr>
            <w:tcW w:type="dxa" w:w="2880"/>
          </w:tcPr>
          <w:p>
            <w:r>
              <w:rPr>
                <w:sz w:val="16"/>
              </w:rPr>
              <w:t xml:space="preserve">  Data sources/measurement</w:t>
            </w:r>
          </w:p>
        </w:tc>
        <w:tc>
          <w:tcPr>
            <w:tcW w:type="dxa" w:w="2880"/>
          </w:tcPr>
          <w:p>
            <w:r>
              <w:rPr>
                <w:sz w:val="16"/>
              </w:rPr>
              <w:t>8</w:t>
            </w:r>
          </w:p>
        </w:tc>
        <w:tc>
          <w:tcPr>
            <w:tcW w:type="dxa" w:w="2880"/>
          </w:tcPr>
          <w:p>
            <w:r>
              <w:rPr>
                <w:sz w:val="16"/>
              </w:rPr>
              <w:t>方法：データ収集に記載</w:t>
            </w:r>
          </w:p>
        </w:tc>
      </w:tr>
      <w:tr>
        <w:tc>
          <w:tcPr>
            <w:tcW w:type="dxa" w:w="2880"/>
          </w:tcPr>
          <w:p>
            <w:r>
              <w:rPr>
                <w:sz w:val="16"/>
              </w:rPr>
              <w:t xml:space="preserve">  Bias</w:t>
            </w:r>
          </w:p>
        </w:tc>
        <w:tc>
          <w:tcPr>
            <w:tcW w:type="dxa" w:w="2880"/>
          </w:tcPr>
          <w:p>
            <w:r>
              <w:rPr>
                <w:sz w:val="16"/>
              </w:rPr>
              <w:t>9</w:t>
            </w:r>
          </w:p>
        </w:tc>
        <w:tc>
          <w:tcPr>
            <w:tcW w:type="dxa" w:w="2880"/>
          </w:tcPr>
          <w:p>
            <w:r>
              <w:rPr>
                <w:sz w:val="16"/>
              </w:rPr>
              <w:t>方法：統計解析、考察：限界に記載</w:t>
            </w:r>
          </w:p>
        </w:tc>
      </w:tr>
      <w:tr>
        <w:tc>
          <w:tcPr>
            <w:tcW w:type="dxa" w:w="2880"/>
          </w:tcPr>
          <w:p>
            <w:r>
              <w:rPr>
                <w:sz w:val="16"/>
              </w:rPr>
              <w:t xml:space="preserve">  Study size</w:t>
            </w:r>
          </w:p>
        </w:tc>
        <w:tc>
          <w:tcPr>
            <w:tcW w:type="dxa" w:w="2880"/>
          </w:tcPr>
          <w:p>
            <w:r>
              <w:rPr>
                <w:sz w:val="16"/>
              </w:rPr>
              <w:t>10</w:t>
            </w:r>
          </w:p>
        </w:tc>
        <w:tc>
          <w:tcPr>
            <w:tcW w:type="dxa" w:w="2880"/>
          </w:tcPr>
          <w:p>
            <w:r>
              <w:rPr>
                <w:sz w:val="16"/>
              </w:rPr>
              <w:t>方法：対象、結果：対象者の選択に記載</w:t>
            </w:r>
          </w:p>
        </w:tc>
      </w:tr>
      <w:tr>
        <w:tc>
          <w:tcPr>
            <w:tcW w:type="dxa" w:w="2880"/>
          </w:tcPr>
          <w:p>
            <w:r>
              <w:rPr>
                <w:sz w:val="16"/>
              </w:rPr>
              <w:t xml:space="preserve">  Quantitative variables</w:t>
            </w:r>
          </w:p>
        </w:tc>
        <w:tc>
          <w:tcPr>
            <w:tcW w:type="dxa" w:w="2880"/>
          </w:tcPr>
          <w:p>
            <w:r>
              <w:rPr>
                <w:sz w:val="16"/>
              </w:rPr>
              <w:t>11</w:t>
            </w:r>
          </w:p>
        </w:tc>
        <w:tc>
          <w:tcPr>
            <w:tcW w:type="dxa" w:w="2880"/>
          </w:tcPr>
          <w:p>
            <w:r>
              <w:rPr>
                <w:sz w:val="16"/>
              </w:rPr>
              <w:t>方法：評価項目に記載</w:t>
            </w:r>
          </w:p>
        </w:tc>
      </w:tr>
      <w:tr>
        <w:tc>
          <w:tcPr>
            <w:tcW w:type="dxa" w:w="2880"/>
          </w:tcPr>
          <w:p>
            <w:r>
              <w:rPr>
                <w:sz w:val="16"/>
              </w:rPr>
              <w:t xml:space="preserve">  Statistical methods</w:t>
            </w:r>
          </w:p>
        </w:tc>
        <w:tc>
          <w:tcPr>
            <w:tcW w:type="dxa" w:w="2880"/>
          </w:tcPr>
          <w:p>
            <w:r>
              <w:rPr>
                <w:sz w:val="16"/>
              </w:rPr>
              <w:t>12</w:t>
            </w:r>
          </w:p>
        </w:tc>
        <w:tc>
          <w:tcPr>
            <w:tcW w:type="dxa" w:w="2880"/>
          </w:tcPr>
          <w:p>
            <w:r>
              <w:rPr>
                <w:sz w:val="16"/>
              </w:rPr>
              <w:t>方法：統計解析に記載</w:t>
            </w:r>
          </w:p>
        </w:tc>
      </w:tr>
      <w:tr>
        <w:tc>
          <w:tcPr>
            <w:tcW w:type="dxa" w:w="2880"/>
          </w:tcPr>
          <w:p>
            <w:r>
              <w:rPr>
                <w:b/>
                <w:sz w:val="16"/>
              </w:rPr>
              <w:t>Results</w:t>
            </w:r>
          </w:p>
        </w:tc>
        <w:tc>
          <w:tcPr>
            <w:tcW w:type="dxa" w:w="2880"/>
          </w:tcPr>
          <w:p>
            <w:r>
              <w:rPr>
                <w:b/>
                <w:sz w:val="16"/>
              </w:rPr>
            </w:r>
          </w:p>
        </w:tc>
        <w:tc>
          <w:tcPr>
            <w:tcW w:type="dxa" w:w="2880"/>
          </w:tcPr>
          <w:p>
            <w:r>
              <w:rPr>
                <w:b/>
                <w:sz w:val="16"/>
              </w:rPr>
            </w:r>
          </w:p>
        </w:tc>
      </w:tr>
      <w:tr>
        <w:tc>
          <w:tcPr>
            <w:tcW w:type="dxa" w:w="2880"/>
          </w:tcPr>
          <w:p>
            <w:r>
              <w:rPr>
                <w:sz w:val="16"/>
              </w:rPr>
              <w:t xml:space="preserve">  Participants</w:t>
            </w:r>
          </w:p>
        </w:tc>
        <w:tc>
          <w:tcPr>
            <w:tcW w:type="dxa" w:w="2880"/>
          </w:tcPr>
          <w:p>
            <w:r>
              <w:rPr>
                <w:sz w:val="16"/>
              </w:rPr>
              <w:t>13</w:t>
            </w:r>
          </w:p>
        </w:tc>
        <w:tc>
          <w:tcPr>
            <w:tcW w:type="dxa" w:w="2880"/>
          </w:tcPr>
          <w:p>
            <w:r>
              <w:rPr>
                <w:sz w:val="16"/>
              </w:rPr>
              <w:t>結果：対象者の選択、Fig. 1</w:t>
            </w:r>
          </w:p>
        </w:tc>
      </w:tr>
      <w:tr>
        <w:tc>
          <w:tcPr>
            <w:tcW w:type="dxa" w:w="2880"/>
          </w:tcPr>
          <w:p>
            <w:r>
              <w:rPr>
                <w:sz w:val="16"/>
              </w:rPr>
              <w:t xml:space="preserve">  Descriptive data</w:t>
            </w:r>
          </w:p>
        </w:tc>
        <w:tc>
          <w:tcPr>
            <w:tcW w:type="dxa" w:w="2880"/>
          </w:tcPr>
          <w:p>
            <w:r>
              <w:rPr>
                <w:sz w:val="16"/>
              </w:rPr>
              <w:t>14</w:t>
            </w:r>
          </w:p>
        </w:tc>
        <w:tc>
          <w:tcPr>
            <w:tcW w:type="dxa" w:w="2880"/>
          </w:tcPr>
          <w:p>
            <w:r>
              <w:rPr>
                <w:sz w:val="16"/>
              </w:rPr>
              <w:t>結果：患者背景、Table 1</w:t>
            </w:r>
          </w:p>
        </w:tc>
      </w:tr>
      <w:tr>
        <w:tc>
          <w:tcPr>
            <w:tcW w:type="dxa" w:w="2880"/>
          </w:tcPr>
          <w:p>
            <w:r>
              <w:rPr>
                <w:sz w:val="16"/>
              </w:rPr>
              <w:t xml:space="preserve">  Outcome data</w:t>
            </w:r>
          </w:p>
        </w:tc>
        <w:tc>
          <w:tcPr>
            <w:tcW w:type="dxa" w:w="2880"/>
          </w:tcPr>
          <w:p>
            <w:r>
              <w:rPr>
                <w:sz w:val="16"/>
              </w:rPr>
              <w:t>15</w:t>
            </w:r>
          </w:p>
        </w:tc>
        <w:tc>
          <w:tcPr>
            <w:tcW w:type="dxa" w:w="2880"/>
          </w:tcPr>
          <w:p>
            <w:r>
              <w:rPr>
                <w:sz w:val="16"/>
              </w:rPr>
              <w:t>結果：IONV発生率、Table 2</w:t>
            </w:r>
          </w:p>
        </w:tc>
      </w:tr>
      <w:tr>
        <w:tc>
          <w:tcPr>
            <w:tcW w:type="dxa" w:w="2880"/>
          </w:tcPr>
          <w:p>
            <w:r>
              <w:rPr>
                <w:sz w:val="16"/>
              </w:rPr>
              <w:t xml:space="preserve">  Main results</w:t>
            </w:r>
          </w:p>
        </w:tc>
        <w:tc>
          <w:tcPr>
            <w:tcW w:type="dxa" w:w="2880"/>
          </w:tcPr>
          <w:p>
            <w:r>
              <w:rPr>
                <w:sz w:val="16"/>
              </w:rPr>
              <w:t>16</w:t>
            </w:r>
          </w:p>
        </w:tc>
        <w:tc>
          <w:tcPr>
            <w:tcW w:type="dxa" w:w="2880"/>
          </w:tcPr>
          <w:p>
            <w:r>
              <w:rPr>
                <w:sz w:val="16"/>
              </w:rPr>
              <w:t>結果：多変量解析、Table 2, Fig. 3-4</w:t>
            </w:r>
          </w:p>
        </w:tc>
      </w:tr>
      <w:tr>
        <w:tc>
          <w:tcPr>
            <w:tcW w:type="dxa" w:w="2880"/>
          </w:tcPr>
          <w:p>
            <w:r>
              <w:rPr>
                <w:sz w:val="16"/>
              </w:rPr>
              <w:t xml:space="preserve">  Other analyses</w:t>
            </w:r>
          </w:p>
        </w:tc>
        <w:tc>
          <w:tcPr>
            <w:tcW w:type="dxa" w:w="2880"/>
          </w:tcPr>
          <w:p>
            <w:r>
              <w:rPr>
                <w:sz w:val="16"/>
              </w:rPr>
              <w:t>17</w:t>
            </w:r>
          </w:p>
        </w:tc>
        <w:tc>
          <w:tcPr>
            <w:tcW w:type="dxa" w:w="2880"/>
          </w:tcPr>
          <w:p>
            <w:r>
              <w:rPr>
                <w:sz w:val="16"/>
              </w:rPr>
              <w:t>結果：共変量感度分析、除外感度分析、Table 3-4, Fig. 5-7</w:t>
            </w:r>
          </w:p>
        </w:tc>
      </w:tr>
      <w:tr>
        <w:tc>
          <w:tcPr>
            <w:tcW w:type="dxa" w:w="2880"/>
          </w:tcPr>
          <w:p>
            <w:r>
              <w:rPr>
                <w:b/>
                <w:sz w:val="16"/>
              </w:rPr>
              <w:t>Discussion</w:t>
            </w:r>
          </w:p>
        </w:tc>
        <w:tc>
          <w:tcPr>
            <w:tcW w:type="dxa" w:w="2880"/>
          </w:tcPr>
          <w:p>
            <w:r>
              <w:rPr>
                <w:b/>
                <w:sz w:val="16"/>
              </w:rPr>
            </w:r>
          </w:p>
        </w:tc>
        <w:tc>
          <w:tcPr>
            <w:tcW w:type="dxa" w:w="2880"/>
          </w:tcPr>
          <w:p>
            <w:r>
              <w:rPr>
                <w:b/>
                <w:sz w:val="16"/>
              </w:rPr>
            </w:r>
          </w:p>
        </w:tc>
      </w:tr>
      <w:tr>
        <w:tc>
          <w:tcPr>
            <w:tcW w:type="dxa" w:w="2880"/>
          </w:tcPr>
          <w:p>
            <w:r>
              <w:rPr>
                <w:sz w:val="16"/>
              </w:rPr>
              <w:t xml:space="preserve">  Key results</w:t>
            </w:r>
          </w:p>
        </w:tc>
        <w:tc>
          <w:tcPr>
            <w:tcW w:type="dxa" w:w="2880"/>
          </w:tcPr>
          <w:p>
            <w:r>
              <w:rPr>
                <w:sz w:val="16"/>
              </w:rPr>
              <w:t>18</w:t>
            </w:r>
          </w:p>
        </w:tc>
        <w:tc>
          <w:tcPr>
            <w:tcW w:type="dxa" w:w="2880"/>
          </w:tcPr>
          <w:p>
            <w:r>
              <w:rPr>
                <w:sz w:val="16"/>
              </w:rPr>
              <w:t>考察：主要な知見に記載</w:t>
            </w:r>
          </w:p>
        </w:tc>
      </w:tr>
      <w:tr>
        <w:tc>
          <w:tcPr>
            <w:tcW w:type="dxa" w:w="2880"/>
          </w:tcPr>
          <w:p>
            <w:r>
              <w:rPr>
                <w:sz w:val="16"/>
              </w:rPr>
              <w:t xml:space="preserve">  Limitations</w:t>
            </w:r>
          </w:p>
        </w:tc>
        <w:tc>
          <w:tcPr>
            <w:tcW w:type="dxa" w:w="2880"/>
          </w:tcPr>
          <w:p>
            <w:r>
              <w:rPr>
                <w:sz w:val="16"/>
              </w:rPr>
              <w:t>19</w:t>
            </w:r>
          </w:p>
        </w:tc>
        <w:tc>
          <w:tcPr>
            <w:tcW w:type="dxa" w:w="2880"/>
          </w:tcPr>
          <w:p>
            <w:r>
              <w:rPr>
                <w:sz w:val="16"/>
              </w:rPr>
              <w:t>考察：限界に記載</w:t>
            </w:r>
          </w:p>
        </w:tc>
      </w:tr>
      <w:tr>
        <w:tc>
          <w:tcPr>
            <w:tcW w:type="dxa" w:w="2880"/>
          </w:tcPr>
          <w:p>
            <w:r>
              <w:rPr>
                <w:sz w:val="16"/>
              </w:rPr>
              <w:t xml:space="preserve">  Interpretation</w:t>
            </w:r>
          </w:p>
        </w:tc>
        <w:tc>
          <w:tcPr>
            <w:tcW w:type="dxa" w:w="2880"/>
          </w:tcPr>
          <w:p>
            <w:r>
              <w:rPr>
                <w:sz w:val="16"/>
              </w:rPr>
              <w:t>20</w:t>
            </w:r>
          </w:p>
        </w:tc>
        <w:tc>
          <w:tcPr>
            <w:tcW w:type="dxa" w:w="2880"/>
          </w:tcPr>
          <w:p>
            <w:r>
              <w:rPr>
                <w:sz w:val="16"/>
              </w:rPr>
              <w:t>考察：解釈と臨床的意義に記載</w:t>
            </w:r>
          </w:p>
        </w:tc>
      </w:tr>
      <w:tr>
        <w:tc>
          <w:tcPr>
            <w:tcW w:type="dxa" w:w="2880"/>
          </w:tcPr>
          <w:p>
            <w:r>
              <w:rPr>
                <w:sz w:val="16"/>
              </w:rPr>
              <w:t xml:space="preserve">  Generalisability</w:t>
            </w:r>
          </w:p>
        </w:tc>
        <w:tc>
          <w:tcPr>
            <w:tcW w:type="dxa" w:w="2880"/>
          </w:tcPr>
          <w:p>
            <w:r>
              <w:rPr>
                <w:sz w:val="16"/>
              </w:rPr>
              <w:t>21</w:t>
            </w:r>
          </w:p>
        </w:tc>
        <w:tc>
          <w:tcPr>
            <w:tcW w:type="dxa" w:w="2880"/>
          </w:tcPr>
          <w:p>
            <w:r>
              <w:rPr>
                <w:sz w:val="16"/>
              </w:rPr>
              <w:t>考察：一般化可能性に記載</w:t>
            </w:r>
          </w:p>
        </w:tc>
      </w:tr>
      <w:tr>
        <w:tc>
          <w:tcPr>
            <w:tcW w:type="dxa" w:w="2880"/>
          </w:tcPr>
          <w:p>
            <w:r>
              <w:rPr>
                <w:b/>
                <w:sz w:val="16"/>
              </w:rPr>
              <w:t>Other information</w:t>
            </w:r>
          </w:p>
        </w:tc>
        <w:tc>
          <w:tcPr>
            <w:tcW w:type="dxa" w:w="2880"/>
          </w:tcPr>
          <w:p>
            <w:r>
              <w:rPr>
                <w:b/>
                <w:sz w:val="16"/>
              </w:rPr>
            </w:r>
          </w:p>
        </w:tc>
        <w:tc>
          <w:tcPr>
            <w:tcW w:type="dxa" w:w="2880"/>
          </w:tcPr>
          <w:p>
            <w:r>
              <w:rPr>
                <w:b/>
                <w:sz w:val="16"/>
              </w:rPr>
            </w:r>
          </w:p>
        </w:tc>
      </w:tr>
      <w:tr>
        <w:tc>
          <w:tcPr>
            <w:tcW w:type="dxa" w:w="2880"/>
          </w:tcPr>
          <w:p>
            <w:r>
              <w:rPr>
                <w:sz w:val="16"/>
              </w:rPr>
              <w:t xml:space="preserve">  Funding</w:t>
            </w:r>
          </w:p>
        </w:tc>
        <w:tc>
          <w:tcPr>
            <w:tcW w:type="dxa" w:w="2880"/>
          </w:tcPr>
          <w:p>
            <w:r>
              <w:rPr>
                <w:sz w:val="16"/>
              </w:rPr>
              <w:t>22</w:t>
            </w:r>
          </w:p>
        </w:tc>
        <w:tc>
          <w:tcPr>
            <w:tcW w:type="dxa" w:w="2880"/>
          </w:tcPr>
          <w:p>
            <w:r>
              <w:rPr>
                <w:sz w:val="16"/>
              </w:rPr>
              <w:t>本研究に対する資金提供はない</w:t>
            </w:r>
          </w:p>
        </w:tc>
      </w:tr>
    </w:tbl>
    <w:p>
      <w:r>
        <w:br w:type="page"/>
      </w:r>
    </w:p>
    <w:p>
      <w:pPr>
        <w:pStyle w:val="Heading1"/>
      </w:pPr>
      <w:r>
        <w:rPr>
          <w:color w:val="000000"/>
        </w:rPr>
        <w:t>Figure Legends</w:t>
      </w:r>
    </w:p>
    <w:p>
      <w:pPr>
        <w:spacing w:before="160"/>
      </w:pPr>
      <w:r>
        <w:rPr>
          <w:b/>
          <w:sz w:val="20"/>
        </w:rPr>
        <w:t xml:space="preserve">Fig. 1. </w:t>
      </w:r>
      <w:r>
        <w:rPr>
          <w:sz w:val="20"/>
        </w:rPr>
        <w:t>STROBE flow diagram showing participant selection. Of 3,479 cesarean deliveries assessed, 236 were excluded, leaving 3,188 (singleton 2,846, twin 342) for the primary analysis. A further exclusion of emergency CS, prior CS, HDP, and preoperative steroid yielded a sensitivity subgroup of 663 (singleton 479, twin 184).</w:t>
      </w:r>
    </w:p>
    <w:p>
      <w:pPr>
        <w:spacing w:before="160"/>
      </w:pPr>
      <w:r>
        <w:rPr>
          <w:b/>
          <w:sz w:val="20"/>
        </w:rPr>
        <w:t xml:space="preserve">Fig. 2. </w:t>
      </w:r>
      <w:r>
        <w:rPr>
          <w:sz w:val="20"/>
        </w:rPr>
        <w:t>IONV rates by antiemetic definition (broad: all 7 drugs; narrow: 5-HT3 antagonists only) and pregnancy type (singleton vs twin). Error bars represent 95% confidence intervals. * P &lt; 0.05 for singleton vs twin comparison.</w:t>
      </w:r>
    </w:p>
    <w:p>
      <w:pPr>
        <w:spacing w:before="160"/>
      </w:pPr>
      <w:r>
        <w:rPr>
          <w:b/>
          <w:sz w:val="20"/>
        </w:rPr>
        <w:t xml:space="preserve">Fig. 3. </w:t>
      </w:r>
      <w:r>
        <w:rPr>
          <w:sz w:val="20"/>
        </w:rPr>
        <w:t>Forest plot of multivariable logistic regression for narrow-definition antiemetic use (primary outcome). Reduced model with 6 covariates. Twin pregnancy was independently associated with 5-HT3 antagonist use (aOR 3.48, 95% CI 0.81–15.06).</w:t>
      </w:r>
    </w:p>
    <w:p>
      <w:pPr>
        <w:spacing w:before="160"/>
      </w:pPr>
      <w:r>
        <w:rPr>
          <w:b/>
          <w:sz w:val="20"/>
        </w:rPr>
        <w:t xml:space="preserve">Fig. 4. </w:t>
      </w:r>
      <w:r>
        <w:rPr>
          <w:sz w:val="20"/>
        </w:rPr>
        <w:t>Comparison of adjusted odds ratios for twin pregnancy across broad and narrow antiemetic definitions (primary and secondary outcomes). Only the narrow-definition primary outcome showed a significant association.</w:t>
      </w:r>
    </w:p>
    <w:p>
      <w:pPr>
        <w:spacing w:before="160"/>
      </w:pPr>
      <w:r>
        <w:rPr>
          <w:b/>
          <w:sz w:val="20"/>
        </w:rPr>
        <w:t xml:space="preserve">Fig. 5. </w:t>
      </w:r>
      <w:r>
        <w:rPr>
          <w:sz w:val="20"/>
        </w:rPr>
        <w:t>Covariate sensitivity analysis for the narrow-definition primary outcome. All 19 models yielded aOR in the range 3.12–5.96, all P &lt; 0.05, demonstrating robustness of the twin effect.</w:t>
      </w:r>
    </w:p>
    <w:p>
      <w:pPr>
        <w:spacing w:before="160"/>
      </w:pPr>
      <w:r>
        <w:rPr>
          <w:b/>
          <w:sz w:val="20"/>
        </w:rPr>
        <w:t xml:space="preserve">Fig. 6. </w:t>
      </w:r>
      <w:r>
        <w:rPr>
          <w:sz w:val="20"/>
        </w:rPr>
        <w:t>IONV rates in the elective, low-risk sensitivity subgroup (N = 663) after excluding emergency CS, prior CS, HDP, and preoperative steroid.</w:t>
      </w:r>
    </w:p>
    <w:p>
      <w:pPr>
        <w:spacing w:before="160"/>
      </w:pPr>
      <w:r>
        <w:rPr>
          <w:b/>
          <w:sz w:val="20"/>
        </w:rPr>
        <w:t xml:space="preserve">Fig. 7. </w:t>
      </w:r>
      <w:r>
        <w:rPr>
          <w:sz w:val="20"/>
        </w:rPr>
        <w:t>Comparison of adjusted odds ratios in the elective, low-risk sensitivity subgroup. The narrow-definition effect size increased from aOR 3.48 (full cohort) to aOR 14.14 (subgroup).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