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Health Policy</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Health Policy.</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a series of pre-specified sensitivity and robustness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Health Policy's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94.2% occurred within prefectures where audit policy is uniform. University hospital presence was associated with the largest proportional reduction in total variance for general anaesthesia (0.358) and was positive in all 47 prefectures, with a large effect size (Cohen's d 1.88). Sensitivity and robustness analyses—within-prefecture paired comparisons, covariate adjustment, empirical Bayes shrinkage, log-transformation, and audit-sensitivity checks (maximum audit-rate impact, code correlations and a combined general/spinal measure)—all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Health Policy.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Health Policy limits for a full-length article (main text approximately 3428 words; structured abstract 234 words, within 250 words; 2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