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The price decline began during the legislative process, suggesting anticipatory market responses.</w:t>
      </w:r>
    </w:p>
    <w:p>
      <w:r>
        <w:rPr>
          <w:b/>
          <w:i/>
          <w:sz w:val="22"/>
        </w:rPr>
        <w:t xml:space="preserve">Conclusions: </w:t>
      </w:r>
      <w:r>
        <w:rPr>
          <w:b w:val="0"/>
          <w:i w:val="0"/>
          <w:sz w:val="22"/>
        </w:rPr>
        <w:t>The EU desflurane regulation was associated with a progressive, agent-specific decline in secondary market vaporiser prices. These findings provide the first empirical evidence that environmental regulation of anaesthetic agents has measurable economic consequences for the secondary medical equipment market. Anaesthesia departments holding desflurane vaporisers should consider early disposal or trade-in strategies, as secondary market values decline progressively once regulatory signals emerge.</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Summary of completed sales by vaporiser type and regulatory period (pre- and post-1 January 2026). Values are mean (SD), median (IQR) in US dollars. P values from Mann–Whitney U test (two-sided).</w:t>
      </w:r>
    </w:p>
    <w:tbl>
      <w:tblPr>
        <w:tblStyle w:val="TableGrid"/>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c>
          <w:tcPr>
            <w:tcW w:type="dxa" w:w="1105"/>
            <w:shd w:fill="D9E2F3" w:val="clear"/>
          </w:tcPr>
          <w:p>
            <w:pPr>
              <w:jc w:val="center"/>
            </w:pPr>
            <w:r>
              <w:rPr>
                <w:b/>
                <w:sz w:val="18"/>
              </w:rPr>
              <w:t>Agent</w:t>
            </w:r>
          </w:p>
        </w:tc>
        <w:tc>
          <w:tcPr>
            <w:tcW w:type="dxa" w:w="1105"/>
            <w:shd w:fill="D9E2F3" w:val="clear"/>
          </w:tcPr>
          <w:p>
            <w:pPr>
              <w:jc w:val="center"/>
            </w:pPr>
            <w:r>
              <w:rPr>
                <w:b/>
                <w:sz w:val="18"/>
              </w:rPr>
              <w:t>Period</w:t>
            </w:r>
          </w:p>
        </w:tc>
        <w:tc>
          <w:tcPr>
            <w:tcW w:type="dxa" w:w="1105"/>
            <w:shd w:fill="D9E2F3" w:val="clear"/>
          </w:tcPr>
          <w:p>
            <w:pPr>
              <w:jc w:val="center"/>
            </w:pPr>
            <w:r>
              <w:rPr>
                <w:b/>
                <w:sz w:val="18"/>
              </w:rPr>
              <w:t>n</w:t>
            </w:r>
          </w:p>
        </w:tc>
        <w:tc>
          <w:tcPr>
            <w:tcW w:type="dxa" w:w="1105"/>
            <w:shd w:fill="D9E2F3" w:val="clear"/>
          </w:tcPr>
          <w:p>
            <w:pPr>
              <w:jc w:val="center"/>
            </w:pPr>
            <w:r>
              <w:rPr>
                <w:b/>
                <w:sz w:val="18"/>
              </w:rPr>
              <w:t>Mean (SD)</w:t>
            </w:r>
          </w:p>
        </w:tc>
        <w:tc>
          <w:tcPr>
            <w:tcW w:type="dxa" w:w="1105"/>
            <w:shd w:fill="D9E2F3" w:val="clear"/>
          </w:tcPr>
          <w:p>
            <w:pPr>
              <w:jc w:val="center"/>
            </w:pPr>
            <w:r>
              <w:rPr>
                <w:b/>
                <w:sz w:val="18"/>
              </w:rPr>
              <w:t>Median (IQR)</w:t>
            </w:r>
          </w:p>
        </w:tc>
        <w:tc>
          <w:tcPr>
            <w:tcW w:type="dxa" w:w="1105"/>
            <w:shd w:fill="D9E2F3" w:val="clear"/>
          </w:tcPr>
          <w:p>
            <w:pPr>
              <w:jc w:val="center"/>
            </w:pPr>
            <w:r>
              <w:rPr>
                <w:b/>
                <w:sz w:val="18"/>
              </w:rPr>
              <w:t>Range</w:t>
            </w:r>
          </w:p>
        </w:tc>
        <w:tc>
          <w:tcPr>
            <w:tcW w:type="dxa" w:w="1105"/>
            <w:shd w:fill="D9E2F3" w:val="clear"/>
          </w:tcPr>
          <w:p>
            <w:pPr>
              <w:jc w:val="center"/>
            </w:pPr>
            <w:r>
              <w:rPr>
                <w:b/>
                <w:sz w:val="18"/>
              </w:rPr>
              <w:t>P value</w:t>
            </w:r>
          </w:p>
        </w:tc>
        <w:tc>
          <w:tcPr>
            <w:tcW w:type="dxa" w:w="1105"/>
            <w:shd w:fill="D9E2F3" w:val="clear"/>
          </w:tcPr>
          <w:p>
            <w:pPr>
              <w:jc w:val="center"/>
            </w:pPr>
            <w:r>
              <w:rPr>
                <w:b/>
                <w:sz w:val="18"/>
              </w:rPr>
              <w:t>Cohen's d</w:t>
            </w:r>
          </w:p>
        </w:tc>
      </w:tr>
      <w:tr>
        <w:tc>
          <w:tcPr>
            <w:tcW w:type="dxa" w:w="1105"/>
          </w:tcPr>
          <w:p>
            <w:pPr>
              <w:jc w:val="left"/>
            </w:pPr>
            <w:r>
              <w:rPr>
                <w:sz w:val="18"/>
              </w:rPr>
              <w:t>Desflurane</w:t>
            </w:r>
          </w:p>
        </w:tc>
        <w:tc>
          <w:tcPr>
            <w:tcW w:type="dxa" w:w="1105"/>
          </w:tcPr>
          <w:p>
            <w:pPr>
              <w:jc w:val="center"/>
            </w:pPr>
            <w:r>
              <w:rPr>
                <w:sz w:val="18"/>
              </w:rPr>
              <w:t>Pre-ban</w:t>
            </w:r>
          </w:p>
        </w:tc>
        <w:tc>
          <w:tcPr>
            <w:tcW w:type="dxa" w:w="1105"/>
          </w:tcPr>
          <w:p>
            <w:pPr>
              <w:jc w:val="center"/>
            </w:pPr>
            <w:r>
              <w:rPr>
                <w:sz w:val="18"/>
              </w:rPr>
              <w:t>141</w:t>
            </w:r>
          </w:p>
        </w:tc>
        <w:tc>
          <w:tcPr>
            <w:tcW w:type="dxa" w:w="1105"/>
          </w:tcPr>
          <w:p>
            <w:pPr>
              <w:jc w:val="center"/>
            </w:pPr>
            <w:r>
              <w:rPr>
                <w:sz w:val="18"/>
              </w:rPr>
              <w:t>$238 (195)</w:t>
            </w:r>
          </w:p>
        </w:tc>
        <w:tc>
          <w:tcPr>
            <w:tcW w:type="dxa" w:w="1105"/>
          </w:tcPr>
          <w:p>
            <w:pPr>
              <w:jc w:val="center"/>
            </w:pPr>
            <w:r>
              <w:rPr>
                <w:sz w:val="18"/>
              </w:rPr>
              <w:t>$200 (99–325)</w:t>
            </w:r>
          </w:p>
        </w:tc>
        <w:tc>
          <w:tcPr>
            <w:tcW w:type="dxa" w:w="1105"/>
          </w:tcPr>
          <w:p>
            <w:pPr>
              <w:jc w:val="center"/>
            </w:pPr>
            <w:r>
              <w:rPr>
                <w:sz w:val="18"/>
              </w:rPr>
              <w:t>$25–1500</w:t>
            </w:r>
          </w:p>
        </w:tc>
        <w:tc>
          <w:tcPr>
            <w:tcW w:type="dxa" w:w="1105"/>
          </w:tcPr>
          <w:p>
            <w:pPr>
              <w:jc w:val="center"/>
            </w:pPr>
            <w:r>
              <w:rPr>
                <w:sz w:val="18"/>
              </w:rPr>
              <w:t>0.148</w:t>
            </w:r>
          </w:p>
        </w:tc>
        <w:tc>
          <w:tcPr>
            <w:tcW w:type="dxa" w:w="1105"/>
          </w:tcPr>
          <w:p>
            <w:pPr>
              <w:jc w:val="center"/>
            </w:pPr>
            <w:r>
              <w:rPr>
                <w:sz w:val="18"/>
              </w:rPr>
              <w:t>-0.47</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17</w:t>
            </w:r>
          </w:p>
        </w:tc>
        <w:tc>
          <w:tcPr>
            <w:tcW w:type="dxa" w:w="1105"/>
          </w:tcPr>
          <w:p>
            <w:pPr>
              <w:jc w:val="center"/>
            </w:pPr>
            <w:r>
              <w:rPr>
                <w:sz w:val="18"/>
              </w:rPr>
              <w:t>$164 (113)</w:t>
            </w:r>
          </w:p>
        </w:tc>
        <w:tc>
          <w:tcPr>
            <w:tcW w:type="dxa" w:w="1105"/>
          </w:tcPr>
          <w:p>
            <w:pPr>
              <w:jc w:val="center"/>
            </w:pPr>
            <w:r>
              <w:rPr>
                <w:sz w:val="18"/>
              </w:rPr>
              <w:t>$101 (86–250)</w:t>
            </w:r>
          </w:p>
        </w:tc>
        <w:tc>
          <w:tcPr>
            <w:tcW w:type="dxa" w:w="1105"/>
          </w:tcPr>
          <w:p>
            <w:pPr>
              <w:jc w:val="center"/>
            </w:pPr>
            <w:r>
              <w:rPr>
                <w:sz w:val="18"/>
              </w:rPr>
              <w:t>$28–375</w:t>
            </w:r>
          </w:p>
        </w:tc>
        <w:tc>
          <w:tcPr>
            <w:tcW w:type="dxa" w:w="1105"/>
          </w:tcPr>
          <w:p>
            <w:pPr>
              <w:jc w:val="center"/>
            </w:pPr>
            <w:r>
              <w:rPr>
                <w:sz w:val="18"/>
              </w:rPr>
            </w:r>
          </w:p>
        </w:tc>
        <w:tc>
          <w:tcPr>
            <w:tcW w:type="dxa" w:w="1105"/>
          </w:tcPr>
          <w:p>
            <w:pPr>
              <w:jc w:val="center"/>
            </w:pPr>
            <w:r>
              <w:rPr>
                <w:sz w:val="18"/>
              </w:rPr>
            </w:r>
          </w:p>
        </w:tc>
      </w:tr>
      <w:tr>
        <w:tc>
          <w:tcPr>
            <w:tcW w:type="dxa" w:w="1105"/>
          </w:tcPr>
          <w:p>
            <w:pPr>
              <w:jc w:val="left"/>
            </w:pPr>
            <w:r>
              <w:rPr>
                <w:sz w:val="18"/>
              </w:rPr>
              <w:t>Sevoflurane</w:t>
            </w:r>
          </w:p>
        </w:tc>
        <w:tc>
          <w:tcPr>
            <w:tcW w:type="dxa" w:w="1105"/>
          </w:tcPr>
          <w:p>
            <w:pPr>
              <w:jc w:val="center"/>
            </w:pPr>
            <w:r>
              <w:rPr>
                <w:sz w:val="18"/>
              </w:rPr>
              <w:t>Pre-ban</w:t>
            </w:r>
          </w:p>
        </w:tc>
        <w:tc>
          <w:tcPr>
            <w:tcW w:type="dxa" w:w="1105"/>
          </w:tcPr>
          <w:p>
            <w:pPr>
              <w:jc w:val="center"/>
            </w:pPr>
            <w:r>
              <w:rPr>
                <w:sz w:val="18"/>
              </w:rPr>
              <w:t>287</w:t>
            </w:r>
          </w:p>
        </w:tc>
        <w:tc>
          <w:tcPr>
            <w:tcW w:type="dxa" w:w="1105"/>
          </w:tcPr>
          <w:p>
            <w:pPr>
              <w:jc w:val="center"/>
            </w:pPr>
            <w:r>
              <w:rPr>
                <w:sz w:val="18"/>
              </w:rPr>
              <w:t>$545 (415)</w:t>
            </w:r>
          </w:p>
        </w:tc>
        <w:tc>
          <w:tcPr>
            <w:tcW w:type="dxa" w:w="1105"/>
          </w:tcPr>
          <w:p>
            <w:pPr>
              <w:jc w:val="center"/>
            </w:pPr>
            <w:r>
              <w:rPr>
                <w:sz w:val="18"/>
              </w:rPr>
              <w:t>$430 (300–662)</w:t>
            </w:r>
          </w:p>
        </w:tc>
        <w:tc>
          <w:tcPr>
            <w:tcW w:type="dxa" w:w="1105"/>
          </w:tcPr>
          <w:p>
            <w:pPr>
              <w:jc w:val="center"/>
            </w:pPr>
            <w:r>
              <w:rPr>
                <w:sz w:val="18"/>
              </w:rPr>
              <w:t>$75–2750</w:t>
            </w:r>
          </w:p>
        </w:tc>
        <w:tc>
          <w:tcPr>
            <w:tcW w:type="dxa" w:w="1105"/>
          </w:tcPr>
          <w:p>
            <w:pPr>
              <w:jc w:val="center"/>
            </w:pPr>
            <w:r>
              <w:rPr>
                <w:sz w:val="18"/>
              </w:rPr>
              <w:t>0.150</w:t>
            </w:r>
          </w:p>
        </w:tc>
        <w:tc>
          <w:tcPr>
            <w:tcW w:type="dxa" w:w="1105"/>
          </w:tcPr>
          <w:p>
            <w:pPr>
              <w:jc w:val="center"/>
            </w:pPr>
            <w:r>
              <w:rPr>
                <w:sz w:val="18"/>
              </w:rPr>
              <w:t>0.17</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34</w:t>
            </w:r>
          </w:p>
        </w:tc>
        <w:tc>
          <w:tcPr>
            <w:tcW w:type="dxa" w:w="1105"/>
          </w:tcPr>
          <w:p>
            <w:pPr>
              <w:jc w:val="center"/>
            </w:pPr>
            <w:r>
              <w:rPr>
                <w:sz w:val="18"/>
              </w:rPr>
              <w:t>$612 (365)</w:t>
            </w:r>
          </w:p>
        </w:tc>
        <w:tc>
          <w:tcPr>
            <w:tcW w:type="dxa" w:w="1105"/>
          </w:tcPr>
          <w:p>
            <w:pPr>
              <w:jc w:val="center"/>
            </w:pPr>
            <w:r>
              <w:rPr>
                <w:sz w:val="18"/>
              </w:rPr>
              <w:t>$508 (322–900)</w:t>
            </w:r>
          </w:p>
        </w:tc>
        <w:tc>
          <w:tcPr>
            <w:tcW w:type="dxa" w:w="1105"/>
          </w:tcPr>
          <w:p>
            <w:pPr>
              <w:jc w:val="center"/>
            </w:pPr>
            <w:r>
              <w:rPr>
                <w:sz w:val="18"/>
              </w:rPr>
              <w:t>$50–1500</w:t>
            </w:r>
          </w:p>
        </w:tc>
        <w:tc>
          <w:tcPr>
            <w:tcW w:type="dxa" w:w="1105"/>
          </w:tcPr>
          <w:p>
            <w:pPr>
              <w:jc w:val="center"/>
            </w:pPr>
            <w:r>
              <w:rPr>
                <w:sz w:val="18"/>
              </w:rPr>
            </w:r>
          </w:p>
        </w:tc>
        <w:tc>
          <w:tcPr>
            <w:tcW w:type="dxa" w:w="1105"/>
          </w:tcPr>
          <w:p>
            <w:pPr>
              <w:jc w:val="center"/>
            </w:pPr>
            <w:r>
              <w:rPr>
                <w:sz w:val="18"/>
              </w:rPr>
            </w:r>
          </w:p>
        </w:tc>
      </w:tr>
      <w:tr>
        <w:tc>
          <w:tcPr>
            <w:tcW w:type="dxa" w:w="1105"/>
          </w:tcPr>
          <w:p>
            <w:pPr>
              <w:jc w:val="left"/>
            </w:pPr>
            <w:r>
              <w:rPr>
                <w:sz w:val="18"/>
              </w:rPr>
              <w:t>Isoflurane</w:t>
            </w:r>
          </w:p>
        </w:tc>
        <w:tc>
          <w:tcPr>
            <w:tcW w:type="dxa" w:w="1105"/>
          </w:tcPr>
          <w:p>
            <w:pPr>
              <w:jc w:val="center"/>
            </w:pPr>
            <w:r>
              <w:rPr>
                <w:sz w:val="18"/>
              </w:rPr>
              <w:t>Pre-ban</w:t>
            </w:r>
          </w:p>
        </w:tc>
        <w:tc>
          <w:tcPr>
            <w:tcW w:type="dxa" w:w="1105"/>
          </w:tcPr>
          <w:p>
            <w:pPr>
              <w:jc w:val="center"/>
            </w:pPr>
            <w:r>
              <w:rPr>
                <w:sz w:val="18"/>
              </w:rPr>
              <w:t>510</w:t>
            </w:r>
          </w:p>
        </w:tc>
        <w:tc>
          <w:tcPr>
            <w:tcW w:type="dxa" w:w="1105"/>
          </w:tcPr>
          <w:p>
            <w:pPr>
              <w:jc w:val="center"/>
            </w:pPr>
            <w:r>
              <w:rPr>
                <w:sz w:val="18"/>
              </w:rPr>
              <w:t>$287 (215)</w:t>
            </w:r>
          </w:p>
        </w:tc>
        <w:tc>
          <w:tcPr>
            <w:tcW w:type="dxa" w:w="1105"/>
          </w:tcPr>
          <w:p>
            <w:pPr>
              <w:jc w:val="center"/>
            </w:pPr>
            <w:r>
              <w:rPr>
                <w:sz w:val="18"/>
              </w:rPr>
              <w:t>$248 (140–350)</w:t>
            </w:r>
          </w:p>
        </w:tc>
        <w:tc>
          <w:tcPr>
            <w:tcW w:type="dxa" w:w="1105"/>
          </w:tcPr>
          <w:p>
            <w:pPr>
              <w:jc w:val="center"/>
            </w:pPr>
            <w:r>
              <w:rPr>
                <w:sz w:val="18"/>
              </w:rPr>
              <w:t>$30–1275</w:t>
            </w:r>
          </w:p>
        </w:tc>
        <w:tc>
          <w:tcPr>
            <w:tcW w:type="dxa" w:w="1105"/>
          </w:tcPr>
          <w:p>
            <w:pPr>
              <w:jc w:val="center"/>
            </w:pPr>
            <w:r>
              <w:rPr>
                <w:sz w:val="18"/>
              </w:rPr>
              <w:t>0.184</w:t>
            </w:r>
          </w:p>
        </w:tc>
        <w:tc>
          <w:tcPr>
            <w:tcW w:type="dxa" w:w="1105"/>
          </w:tcPr>
          <w:p>
            <w:pPr>
              <w:jc w:val="center"/>
            </w:pPr>
            <w:r>
              <w:rPr>
                <w:sz w:val="18"/>
              </w:rPr>
              <w:t>-0.16</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44</w:t>
            </w:r>
          </w:p>
        </w:tc>
        <w:tc>
          <w:tcPr>
            <w:tcW w:type="dxa" w:w="1105"/>
          </w:tcPr>
          <w:p>
            <w:pPr>
              <w:jc w:val="center"/>
            </w:pPr>
            <w:r>
              <w:rPr>
                <w:sz w:val="18"/>
              </w:rPr>
              <w:t>$255 (191)</w:t>
            </w:r>
          </w:p>
        </w:tc>
        <w:tc>
          <w:tcPr>
            <w:tcW w:type="dxa" w:w="1105"/>
          </w:tcPr>
          <w:p>
            <w:pPr>
              <w:jc w:val="center"/>
            </w:pPr>
            <w:r>
              <w:rPr>
                <w:sz w:val="18"/>
              </w:rPr>
              <w:t>$200 (100–330)</w:t>
            </w:r>
          </w:p>
        </w:tc>
        <w:tc>
          <w:tcPr>
            <w:tcW w:type="dxa" w:w="1105"/>
          </w:tcPr>
          <w:p>
            <w:pPr>
              <w:jc w:val="center"/>
            </w:pPr>
            <w:r>
              <w:rPr>
                <w:sz w:val="18"/>
              </w:rPr>
              <w:t>$70–795</w:t>
            </w:r>
          </w:p>
        </w:tc>
        <w:tc>
          <w:tcPr>
            <w:tcW w:type="dxa" w:w="1105"/>
          </w:tcPr>
          <w:p>
            <w:pPr>
              <w:jc w:val="center"/>
            </w:pPr>
            <w:r>
              <w:rPr>
                <w:sz w:val="18"/>
              </w:rPr>
            </w:r>
          </w:p>
        </w:tc>
        <w:tc>
          <w:tcPr>
            <w:tcW w:type="dxa" w:w="1105"/>
          </w:tcPr>
          <w:p>
            <w:pPr>
              <w:jc w:val="center"/>
            </w:pPr>
            <w:r>
              <w:rPr>
                <w:sz w:val="18"/>
              </w:rPr>
            </w:r>
          </w:p>
        </w:tc>
      </w:tr>
    </w:tbl>
    <w:p/>
    <w:p>
      <w:r>
        <w:rPr>
          <w:b/>
          <w:i w:val="0"/>
          <w:sz w:val="20"/>
        </w:rPr>
        <w:t xml:space="preserve">Table 2.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anaesthesia departments, these findings carry practical implications for capital equipment management. First, departments retaining desflurane vaporisers with intent to sell should recognise that secondary market values are already substantially depressed and are unlikely to recover; early disposal programmes may mitigate further losses. Second, the anticipatory price decline—beginning well before the ban took effect—suggests that institutional buy-back or manufacturer trade-in programmes, if offered early in the legislative cycle, could achieve better cost recovery than delayed action. Third, the stability of sevoflurane and isoflurane vaporiser prices provides reassurance that existing equipment for non-regulated agents retains its capital value. Finally, for jurisdictions considering similar regulations (including potential future restrictions on nitrous oxide), our data suggest that secondary market depreciation begins as soon as regulatory signals emerge, not at the point of formal prohibition. Proactive equipment transition planning during the consultative phase of regulation may therefore be economically rational.</w:t>
      </w:r>
    </w:p>
    <w:p>
      <w:pPr>
        <w:pStyle w:val="Heading1"/>
      </w:pPr>
      <w:r>
        <w:rPr>
          <w:color w:val="000000"/>
        </w:rPr>
        <w:t>Conclusion</w:t>
      </w:r>
    </w:p>
    <w:p>
      <w:r>
        <w:t>The EU desflurane regulation was associated with a progressive, statistically significant decline in secondary market values of desflurane vaporisers. Time-series trend analysis demonstrated that this decline was unique to the regulated agent: sevoflurane and isoflurane vaporiser prices remained stable throughout the study period, serving as natural controls. The price decline began during the legislative process, suggesting anticipatory market responses to cumulative regulatory signals. These findings provide the first empirical evidence that environmental regulation of anaesthetic agents has measurable, agent-specific economic consequences for the secondary medical equipment market, and support early equipment transition planning for anaesthesia departments affected by current or forthcoming volatile agent regulations.</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