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Times New Roman" w:hAnsi="Times New Roman"/>
          <w:b/>
          <w:sz w:val="24"/>
        </w:rPr>
        <w:t>Table 1. Anaesthesia procedure codes analysed across 335 secondary medical areas of Japan, fiscal year 2022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Code</w:t>
            </w:r>
          </w:p>
        </w:tc>
        <w:tc>
          <w:tcPr>
            <w:tcW w:type="dxa" w:w="485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Procedure</w:t>
            </w:r>
          </w:p>
        </w:tc>
        <w:tc>
          <w:tcPr>
            <w:tcW w:type="dxa" w:w="485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Notes</w:t>
            </w:r>
          </w:p>
        </w:tc>
      </w:tr>
      <w:tr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L008</w:t>
            </w:r>
          </w:p>
        </w:tc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General anaesthesia (closed-circuit)</w:t>
            </w:r>
          </w:p>
        </w:tc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Primary indicator of overall general anaesthesia volume</w:t>
            </w:r>
          </w:p>
        </w:tc>
      </w:tr>
      <w:tr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L004</w:t>
            </w:r>
          </w:p>
        </w:tc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Spinal anaesthesia</w:t>
            </w:r>
          </w:p>
        </w:tc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Regional technique</w:t>
            </w:r>
          </w:p>
        </w:tc>
      </w:tr>
      <w:tr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L002</w:t>
            </w:r>
          </w:p>
        </w:tc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Epidural anaesthesia as main technique</w:t>
            </w:r>
          </w:p>
        </w:tc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Regional technique claimed as the primary anaesthetic</w:t>
            </w:r>
          </w:p>
        </w:tc>
      </w:tr>
      <w:tr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L003</w:t>
            </w:r>
          </w:p>
        </w:tc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Continuous epidural infusion</w:t>
            </w:r>
          </w:p>
        </w:tc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Regional technique largely billed as adjunct to general anaesthesia</w:t>
            </w:r>
          </w:p>
        </w:tc>
      </w:tr>
      <w:tr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L009</w:t>
            </w:r>
          </w:p>
        </w:tc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Anaesthesia management fee I</w:t>
            </w:r>
          </w:p>
        </w:tc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Proxy for specialist anaesthesiologist staffing</w:t>
            </w:r>
          </w:p>
        </w:tc>
      </w:tr>
      <w:tr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L100</w:t>
            </w:r>
          </w:p>
        </w:tc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Nerve block, inpatient</w:t>
            </w:r>
          </w:p>
        </w:tc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Indicator of pain-clinic activity</w:t>
            </w:r>
          </w:p>
        </w:tc>
      </w:tr>
    </w:tbl>
    <w:p>
      <w:pPr>
        <w:spacing w:after="240"/>
      </w:pPr>
      <w:r>
        <w:rPr>
          <w:rFonts w:ascii="Times New Roman" w:hAnsi="Times New Roman"/>
          <w:i/>
          <w:sz w:val="20"/>
        </w:rPr>
        <w:t>Source: Japanese fee schedule (shinryo houshu tensuhyo), fiscal year 2022. Standardised claim ratios (national average = 100) were computed for each code by indirect age- and sex-standardisation.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Table 2. Distribution of standardised claim ratios across 335 secondary medical areas (national average = 100), fiscal year 2022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Code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n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Mean (SD)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Median (IQR)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Min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Max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CV (%)</w:t>
            </w:r>
          </w:p>
        </w:tc>
      </w:tr>
      <w:tr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L008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334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79.7 (42.8)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73.5 (50.0–103.0)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2.3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435.7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53.7</w:t>
            </w:r>
          </w:p>
        </w:tc>
      </w:tr>
      <w:tr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L004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334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93.8 (53.3)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84.6 (55.8–127.4)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346.5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56.8</w:t>
            </w:r>
          </w:p>
        </w:tc>
      </w:tr>
      <w:tr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L002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307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95.6 (83.4)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76.6 (31.2–133.4)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0.9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519.1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87.2</w:t>
            </w:r>
          </w:p>
        </w:tc>
      </w:tr>
      <w:tr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L003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331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83.5 (54.3)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73.4 (45.0–117.0)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0.4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443.0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65.0</w:t>
            </w:r>
          </w:p>
        </w:tc>
      </w:tr>
      <w:tr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L009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314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87.3 (49.9)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78.9 (51.4–116.5)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0.1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392.2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57.2</w:t>
            </w:r>
          </w:p>
        </w:tc>
      </w:tr>
      <w:tr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L100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335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99.8 (77.1)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77.8 (43.7–125.9)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3.0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433.3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77.3</w:t>
            </w:r>
          </w:p>
        </w:tc>
      </w:tr>
    </w:tbl>
    <w:p>
      <w:pPr>
        <w:spacing w:after="240"/>
      </w:pPr>
      <w:r>
        <w:rPr>
          <w:rFonts w:ascii="Times New Roman" w:hAnsi="Times New Roman"/>
          <w:i/>
          <w:sz w:val="20"/>
        </w:rPr>
        <w:t>SD, standard deviation; IQR, interquartile range; CV, coefficient of variation. Areas with low claim volume are masked by the data provider and appear as missing values.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Table 3. Multilevel linear mixed model results: standardised claim ratio as outcome, prefecture as random intercept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Code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Null model ICC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b/>
                <w:sz w:val="22"/>
              </w:rPr>
            </w:r>
            <m:oMath>
              <m:r>
                <m:t xml:space="preserve">β</m:t>
              </m:r>
            </m:oMath>
            <w:r>
              <w:rPr>
                <w:rFonts w:ascii="Times New Roman" w:hAnsi="Times New Roman"/>
                <w:b/>
                <w:sz w:val="22"/>
              </w:rPr>
              <w:t xml:space="preserve"> university (95% CI)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 value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b/>
                <w:sz w:val="22"/>
              </w:rPr>
              <w:t xml:space="preserve">Marginal </w:t>
            </w:r>
            <m:oMath>
              <m:sSup>
                <m:e>
                  <m:r>
                    <m:t xml:space="preserve">R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Times New Roman" w:hAnsi="Times New Roman"/>
                <w:b/>
                <w:sz w:val="22"/>
              </w:rPr>
            </w:r>
          </w:p>
        </w:tc>
      </w:tr>
      <w:tr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L008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0.058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+64.1 (54.8 to 73.4)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&lt;0.001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0.358</w:t>
            </w:r>
          </w:p>
        </w:tc>
      </w:tr>
      <w:tr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L004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0.343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+23.0 (11.0 to 35.1)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&lt;0.001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0.020</w:t>
            </w:r>
          </w:p>
        </w:tc>
      </w:tr>
      <w:tr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L002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0.191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+49.0 (27.2 to 70.8)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&lt;0.001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0.125</w:t>
            </w:r>
          </w:p>
        </w:tc>
      </w:tr>
      <w:tr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L003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0.106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+55.8 (43.0 to 68.7)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&lt;0.001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0.162</w:t>
            </w:r>
          </w:p>
        </w:tc>
      </w:tr>
    </w:tbl>
    <w:p>
      <w:pPr>
        <w:spacing w:after="240"/>
      </w:pPr>
      <w:r>
        <w:rPr>
          <w:rFonts w:ascii="Times New Roman" w:hAnsi="Times New Roman"/>
          <w:i/>
          <w:sz w:val="20"/>
        </w:rPr>
      </w:r>
      <m:oMath>
        <m:r>
          <m:t xml:space="preserve">β</m:t>
        </m:r>
      </m:oMath>
      <w:r>
        <w:rPr>
          <w:rFonts w:ascii="Times New Roman" w:hAnsi="Times New Roman"/>
          <w:i/>
          <w:sz w:val="20"/>
        </w:rPr>
        <w:t xml:space="preserve"> university, fixed effect coefficient for university hospital presence (binary 0/1); CI, confidence interval; ICC, intraclass correlation coefficient; Marginal </w:t>
      </w:r>
      <m:oMath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</m:oMath>
      <w:r>
        <w:rPr>
          <w:rFonts w:ascii="Times New Roman" w:hAnsi="Times New Roman"/>
          <w:i/>
          <w:sz w:val="20"/>
        </w:rPr>
        <w:t>, proportional reduction in total variance from the null model after adding the university hospital fixed effect.</w:t>
      </w:r>
    </w:p>
    <w:sectPr w:rsidR="00FC693F" w:rsidRPr="0006063C" w:rsidSect="00034616">
      <w:pgSz w:w="16838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