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Highlights</w:t>
      </w:r>
    </w:p>
    <w:p>
      <w:pPr>
        <w:pStyle w:val="ListBullet"/>
      </w:pPr>
      <w:r>
        <w:rPr>
          <w:rFonts w:ascii="Times New Roman" w:hAnsi="Times New Roman"/>
          <w:sz w:val="24"/>
        </w:rPr>
        <w:t>Closed-form optimal noise-removal level for event-based sensors is derived.</w:t>
      </w:r>
    </w:p>
    <w:p>
      <w:pPr>
        <w:pStyle w:val="ListBullet"/>
      </w:pPr>
      <w:r>
        <w:rPr>
          <w:rFonts w:ascii="Times New Roman" w:hAnsi="Times New Roman"/>
          <w:sz w:val="24"/>
        </w:rPr>
        <w:t>Five-parameter circuit-level noise model (A5) inverts DVS pixel statistics.</w:t>
      </w:r>
    </w:p>
    <w:p>
      <w:pPr>
        <w:pStyle w:val="ListBullet"/>
      </w:pPr>
      <w:r>
        <w:rPr>
          <w:rFonts w:ascii="Times New Roman" w:hAnsi="Times New Roman"/>
          <w:sz w:val="24"/>
        </w:rPr>
        <w:t>Fano-factor-based filter achieves ROC-AUC 0.866 while preserving 93.9% signal.</w:t>
      </w:r>
    </w:p>
    <w:p>
      <w:pPr>
        <w:pStyle w:val="ListBullet"/>
      </w:pPr>
      <w:r>
        <w:rPr>
          <w:rFonts w:ascii="Times New Roman" w:hAnsi="Times New Roman"/>
          <w:sz w:val="24"/>
        </w:rPr>
        <w:t>Six-tier calibration hierarchy includes satellite-trail verification tier.</w:t>
      </w:r>
    </w:p>
    <w:p>
      <w:pPr>
        <w:pStyle w:val="ListBullet"/>
      </w:pPr>
      <w:r>
        <w:rPr>
          <w:rFonts w:ascii="Times New Roman" w:hAnsi="Times New Roman"/>
          <w:sz w:val="24"/>
        </w:rPr>
        <w:t>Open pipeline demonstrates 90.3% noise removal and trajectory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