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Editor-in-Chief</w:t>
      </w:r>
    </w:p>
    <w:p>
      <w:r>
        <w:t>American Journal of Biological Anthropology</w:t>
      </w:r>
    </w:p>
    <w:p>
      <w:r>
        <w:t>Wiley</w:t>
      </w:r>
    </w:p>
    <w:p/>
    <w:p>
      <w:r>
        <w:rPr>
          <w:b/>
        </w:rPr>
        <w:t>Re: Submission of a Research Article</w:t>
      </w:r>
    </w:p>
    <w:p>
      <w:r>
        <w:t>Dear Editor-in-Chief,</w:t>
      </w:r>
    </w:p>
    <w:p>
      <w:r>
        <w:t>I am pleased to submit “Geographic distance decay in population-level Neanderthal and Denisovan segment profiles” for consideration as a Research Article in the American Journal of Biological Anthropology.</w:t>
      </w:r>
    </w:p>
    <w:p>
      <w:r>
        <w:t>The manuscript evaluates pairwise similarity in the genomic distribution of Neanderthal- and Denisovan-like segments across 66 populations. It corrects duplicate haplotype-window contributions, uses population-label quadratic assignment tests for dyadic dependence, and evaluates window, metric, sample-size, dataset, and regional sensitivities.</w:t>
      </w:r>
    </w:p>
    <w:p>
      <w:r>
        <w:t>The rebuilt analysis finds broad distance decay but no non-admixed positive-residual pair that survives false-discovery-rate correction. The manuscript therefore avoids claiming definitive evidence for a migration route and presents the ABO-centered observations only as a secondary hypothesis requiring independent validation.</w:t>
      </w:r>
    </w:p>
    <w:p>
      <w:r>
        <w:t>The work is original, is not under consideration elsewhere, and uses de-identified public genomic resources. No new human participants or specimens were recruited. The manuscript explicitly discloses that no separate institutional review determination, community participation, or direct return-of-results process occurred for this secondary analysis. The author declares no conflict of interest and reports no external funding.</w:t>
      </w:r>
    </w:p>
    <w:p>
      <w:r>
        <w:t>All analysis code and derived outputs are provided through the project repository, and the source hmmix data are publicly archived in Zenodo. The submission includes separate figure files, editable tables, and figure legends in the manuscript.</w:t>
      </w:r>
    </w:p>
    <w:p>
      <w:r>
        <w:t>Sincerely,</w:t>
      </w:r>
    </w:p>
    <w:p>
      <w:r>
        <w:t>Onishi Tatsuki</w:t>
      </w:r>
    </w:p>
    <w:p>
      <w:r>
        <w:t>Data Science and AI Innovation Research Promotion Center</w:t>
      </w:r>
    </w:p>
    <w:p>
      <w:r>
        <w:t>Email: bougtoir@gmail.com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