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Geographic distance decay in population-level Neanderthal and Denisovan segment profiles</w:t>
      </w:r>
    </w:p>
    <w:p>
      <w:pPr>
        <w:jc w:val="center"/>
      </w:pPr>
      <w:r>
        <w:rPr>
          <w:b/>
        </w:rPr>
        <w:t>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Geography of archaic segment profiles</w:t>
      </w:r>
    </w:p>
    <w:p>
      <w:pPr>
        <w:pStyle w:val="Heading1"/>
      </w:pPr>
      <w:r>
        <w:t>Abstract</w:t>
      </w:r>
    </w:p>
    <w:p>
      <w:pPr>
        <w:spacing w:line="360" w:lineRule="auto"/>
      </w:pPr>
      <w:r>
        <w:t>Objectives: We tested whether population-level genomic profiles of inferred Neanderthal- and Denisovan-like segments become less similar with geographic distance. Materials and Methods: High-confidence hmmix calls from 3,134 individuals in 66 populations were summarized in 500-kb windows. Each individual-haplotype-window contributed at most one presence, constraining population frequencies to 0-1. Pearson similarity was calculated for 2,145 population pairs. Distance associations were evaluated with population-label quadratic assignment permutations, population-deletion analyses, and sensitivities to window size, similarity metric, sample-size threshold, dataset, zero-distance pairs, and regional omission. Results: Similarity declined with distance for Neanderthal (raw r=-0.497) and Denisovan (raw r=-0.462) profiles. Expanded descriptive models that also included designated recent-admixture involvement, same-continent status, and same-dataset status had partial distance correlations of -0.369 and -0.326; population-label permutation P values for distance were 0.0001 and 0.0002. No positive-residual non-admixed pair met both z&gt;2 and false-discovery-rate q&lt;0.10. Conclusions: Archaic-segment profile similarity contains a broad geographic distance-decay signal, but the analysis does not identify exceptional population connections or demonstrate specific migration routes. A secondary ABO-window analysis remains hypothesis-generating.</w:t>
      </w:r>
    </w:p>
    <w:p>
      <w:r>
        <w:rPr>
          <w:b/>
        </w:rPr>
        <w:t xml:space="preserve">Keywords: </w:t>
      </w:r>
      <w:r>
        <w:t>archaic introgression; Neanderthal; Denisovan; population genetics; geographic distance;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Most summaries emphasize the proportion of archaic ancestry within a population. A complementary question is whether two populations carry inferred archaic segments in similar genomic locations.</w:t>
      </w:r>
    </w:p>
    <w:p>
      <w:pPr>
        <w:ind w:firstLine="432"/>
      </w:pPr>
      <w:r>
        <w:rPr>
          <w:rFonts w:ascii="Times New Roman" w:hAnsi="Times New Roman"/>
          <w:i w:val="0"/>
          <w:sz w:val="24"/>
        </w:rPr>
        <w:t>Geographic gradients in archaic ancestry may reflect range expansions and serial demographic processes rather than a single migration event (Quilodran et al. 2023). Pairwise profile similarity offers a direct descriptive measure of shared genomic distribution, but it creates dyadic data: every population appears in many pair rows. Standard row-wise regression tests, bootstraps, or response shuffles therefore do not preserve the population-level dependence structure. Quadratic assignment procedures address this problem by permuting population labels on a complete matrix (Krackhardt 1988; Dekker, Krackhardt, and Snijders 2007).</w:t>
      </w:r>
    </w:p>
    <w:p>
      <w:pPr>
        <w:ind w:firstLine="432"/>
      </w:pPr>
      <w:r>
        <w:rPr>
          <w:rFonts w:ascii="Times New Roman" w:hAnsi="Times New Roman"/>
          <w:i w:val="0"/>
          <w:sz w:val="24"/>
        </w:rPr>
        <w:t>The primary objective was to test whether Neanderthal- and Denisovan-segment profile similarity declines with great-circle distance across 66 populations from the 1000 Genomes Project and Human Genome Diversity Project. We also tested robustness to alternative genomic windows, similarity metrics, sample-size thresholds, datasets, co-located pairs, and regional omission. A secondary analysis of the ABO-centered interval was retained because ABO has an unusually deep allelic history and has motivated founder-effect and archaic-background hypotheses (Calafell et al. 2008; Halverson and Bolnick 2008; Segurel et al. 2012; Condemi et al. 2021). This focal analysis was prespecified as exploratory and was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hmmix segment calls from 1000 Genomes and HGDP samples in Zenodo record 14136628. Hmmix detects candidate archaic sequence without requiring an unadmixed modern outgroup (Skov et al. 2018). Source population definitions followed the 1000 Genomes and HGDP resources (1000 Genomes Project Consortium 2015; Bergström et al. 2020).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(PUR, CLM, MXL, or PEL),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GRCh38 as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follow the expanded AJBA guidance on ethical review and stakeholder communication (Turner 2025).</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 Table 1).</w:t>
      </w:r>
    </w:p>
    <w:p>
      <w:pPr>
        <w:spacing w:before="320"/>
        <w:jc w:val="center"/>
      </w:pPr>
      <w:r>
        <w:drawing>
          <wp:inline xmlns:a="http://schemas.openxmlformats.org/drawingml/2006/main" xmlns:pic="http://schemas.openxmlformats.org/drawingml/2006/picture">
            <wp:extent cx="5806440" cy="2765816"/>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65816"/>
                    </a:xfrm>
                    <a:prstGeom prst="rect"/>
                  </pic:spPr>
                </pic:pic>
              </a:graphicData>
            </a:graphic>
          </wp:inline>
        </w:drawing>
      </w:r>
    </w:p>
    <w:p>
      <w:pPr>
        <w:spacing w:before="200" w:line="276" w:lineRule="auto"/>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before="280"/>
      </w:pPr>
      <w:r>
        <w:rPr>
          <w:b/>
        </w:rPr>
        <w:t>Table 1. Dependence-aware geographic-distance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D9EAF7"/>
          </w:tcPr>
          <w:p>
            <w:pPr>
              <w:spacing w:line="240" w:lineRule="auto"/>
            </w:pPr>
            <w:r>
              <w:rPr>
                <w:rFonts w:ascii="Arial" w:hAnsi="Arial"/>
                <w:b/>
                <w:sz w:val="17"/>
              </w:rPr>
              <w:t>Metric</w:t>
            </w:r>
          </w:p>
        </w:tc>
        <w:tc>
          <w:tcPr>
            <w:tcW w:type="dxa" w:w="2340"/>
            <w:shd w:fill="D9EAF7"/>
          </w:tcPr>
          <w:p>
            <w:pPr>
              <w:spacing w:line="240" w:lineRule="auto"/>
            </w:pPr>
            <w:r>
              <w:rPr>
                <w:rFonts w:ascii="Arial" w:hAnsi="Arial"/>
                <w:b/>
                <w:sz w:val="17"/>
              </w:rPr>
              <w:t>Neanderthal</w:t>
            </w:r>
          </w:p>
        </w:tc>
        <w:tc>
          <w:tcPr>
            <w:tcW w:type="dxa" w:w="2340"/>
            <w:shd w:fill="D9EAF7"/>
          </w:tcPr>
          <w:p>
            <w:pPr>
              <w:spacing w:line="240" w:lineRule="auto"/>
            </w:pPr>
            <w:r>
              <w:rPr>
                <w:rFonts w:ascii="Arial" w:hAnsi="Arial"/>
                <w:b/>
                <w:sz w:val="17"/>
              </w:rPr>
              <w:t>Denisovan</w:t>
            </w:r>
          </w:p>
        </w:tc>
        <w:tc>
          <w:tcPr>
            <w:tcW w:type="dxa" w:w="2340"/>
            <w:shd w:fill="D9EAF7"/>
          </w:tcPr>
          <w:p>
            <w:pPr>
              <w:spacing w:line="240" w:lineRule="auto"/>
            </w:pPr>
            <w:r>
              <w:rPr>
                <w:rFonts w:ascii="Arial" w:hAnsi="Arial"/>
                <w:b/>
                <w:sz w:val="17"/>
              </w:rPr>
              <w:t>Interpretation</w:t>
            </w:r>
          </w:p>
        </w:tc>
      </w:tr>
      <w:tr>
        <w:tc>
          <w:tcPr>
            <w:tcW w:type="dxa" w:w="2340"/>
          </w:tcPr>
          <w:p>
            <w:pPr>
              <w:spacing w:line="240" w:lineRule="auto"/>
            </w:pPr>
            <w:r>
              <w:rPr>
                <w:rFonts w:ascii="Arial" w:hAnsi="Arial"/>
                <w:b w:val="0"/>
                <w:sz w:val="17"/>
              </w:rPr>
              <w:t>Populations / unique pairs</w:t>
            </w:r>
          </w:p>
        </w:tc>
        <w:tc>
          <w:tcPr>
            <w:tcW w:type="dxa" w:w="2340"/>
          </w:tcPr>
          <w:p>
            <w:pPr>
              <w:spacing w:line="240" w:lineRule="auto"/>
            </w:pPr>
            <w:r>
              <w:rPr>
                <w:rFonts w:ascii="Arial" w:hAnsi="Arial"/>
                <w:b w:val="0"/>
                <w:sz w:val="17"/>
              </w:rPr>
              <w:t>66 / 2,145</w:t>
            </w:r>
          </w:p>
        </w:tc>
        <w:tc>
          <w:tcPr>
            <w:tcW w:type="dxa" w:w="2340"/>
          </w:tcPr>
          <w:p>
            <w:pPr>
              <w:spacing w:line="240" w:lineRule="auto"/>
            </w:pPr>
            <w:r>
              <w:rPr>
                <w:rFonts w:ascii="Arial" w:hAnsi="Arial"/>
                <w:b w:val="0"/>
                <w:sz w:val="17"/>
              </w:rPr>
              <w:t>66 / 2,145</w:t>
            </w:r>
          </w:p>
        </w:tc>
        <w:tc>
          <w:tcPr>
            <w:tcW w:type="dxa" w:w="2340"/>
          </w:tcPr>
          <w:p>
            <w:pPr>
              <w:spacing w:line="240" w:lineRule="auto"/>
            </w:pPr>
            <w:r>
              <w:rPr>
                <w:rFonts w:ascii="Arial" w:hAnsi="Arial"/>
                <w:b w:val="0"/>
                <w:sz w:val="17"/>
              </w:rPr>
              <w:t>Same pair set</w:t>
            </w:r>
          </w:p>
        </w:tc>
      </w:tr>
      <w:tr>
        <w:tc>
          <w:tcPr>
            <w:tcW w:type="dxa" w:w="2340"/>
          </w:tcPr>
          <w:p>
            <w:pPr>
              <w:spacing w:line="240" w:lineRule="auto"/>
            </w:pPr>
            <w:r>
              <w:rPr>
                <w:rFonts w:ascii="Arial" w:hAnsi="Arial"/>
                <w:b w:val="0"/>
                <w:sz w:val="17"/>
              </w:rPr>
              <w:t>Raw sharing-distance r</w:t>
            </w:r>
          </w:p>
        </w:tc>
        <w:tc>
          <w:tcPr>
            <w:tcW w:type="dxa" w:w="2340"/>
          </w:tcPr>
          <w:p>
            <w:pPr>
              <w:spacing w:line="240" w:lineRule="auto"/>
            </w:pPr>
            <w:r>
              <w:rPr>
                <w:rFonts w:ascii="Arial" w:hAnsi="Arial"/>
                <w:b w:val="0"/>
                <w:sz w:val="17"/>
              </w:rPr>
              <w:t>-0.4971</w:t>
            </w:r>
          </w:p>
        </w:tc>
        <w:tc>
          <w:tcPr>
            <w:tcW w:type="dxa" w:w="2340"/>
          </w:tcPr>
          <w:p>
            <w:pPr>
              <w:spacing w:line="240" w:lineRule="auto"/>
            </w:pPr>
            <w:r>
              <w:rPr>
                <w:rFonts w:ascii="Arial" w:hAnsi="Arial"/>
                <w:b w:val="0"/>
                <w:sz w:val="17"/>
              </w:rPr>
              <w:t>-0.4617</w:t>
            </w:r>
          </w:p>
        </w:tc>
        <w:tc>
          <w:tcPr>
            <w:tcW w:type="dxa" w:w="2340"/>
          </w:tcPr>
          <w:p>
            <w:pPr>
              <w:spacing w:line="240" w:lineRule="auto"/>
            </w:pPr>
            <w:r>
              <w:rPr>
                <w:rFonts w:ascii="Arial" w:hAnsi="Arial"/>
                <w:b w:val="0"/>
                <w:sz w:val="17"/>
              </w:rPr>
              <w:t>Descriptive pairwise correlation</w:t>
            </w:r>
          </w:p>
        </w:tc>
      </w:tr>
      <w:tr>
        <w:tc>
          <w:tcPr>
            <w:tcW w:type="dxa" w:w="2340"/>
          </w:tcPr>
          <w:p>
            <w:pPr>
              <w:spacing w:line="240" w:lineRule="auto"/>
            </w:pPr>
            <w:r>
              <w:rPr>
                <w:rFonts w:ascii="Arial" w:hAnsi="Arial"/>
                <w:b w:val="0"/>
                <w:sz w:val="17"/>
              </w:rPr>
              <w:t>Expanded-model partial r</w:t>
            </w:r>
          </w:p>
        </w:tc>
        <w:tc>
          <w:tcPr>
            <w:tcW w:type="dxa" w:w="2340"/>
          </w:tcPr>
          <w:p>
            <w:pPr>
              <w:spacing w:line="240" w:lineRule="auto"/>
            </w:pPr>
            <w:r>
              <w:rPr>
                <w:rFonts w:ascii="Arial" w:hAnsi="Arial"/>
                <w:b w:val="0"/>
                <w:sz w:val="17"/>
              </w:rPr>
              <w:t>-0.3687</w:t>
            </w:r>
          </w:p>
        </w:tc>
        <w:tc>
          <w:tcPr>
            <w:tcW w:type="dxa" w:w="2340"/>
          </w:tcPr>
          <w:p>
            <w:pPr>
              <w:spacing w:line="240" w:lineRule="auto"/>
            </w:pPr>
            <w:r>
              <w:rPr>
                <w:rFonts w:ascii="Arial" w:hAnsi="Arial"/>
                <w:b w:val="0"/>
                <w:sz w:val="17"/>
              </w:rPr>
              <w:t>-0.3259</w:t>
            </w:r>
          </w:p>
        </w:tc>
        <w:tc>
          <w:tcPr>
            <w:tcW w:type="dxa" w:w="2340"/>
          </w:tcPr>
          <w:p>
            <w:pPr>
              <w:spacing w:line="240" w:lineRule="auto"/>
            </w:pPr>
            <w:r>
              <w:rPr>
                <w:rFonts w:ascii="Arial" w:hAnsi="Arial"/>
                <w:b w:val="0"/>
                <w:sz w:val="17"/>
              </w:rPr>
              <w:t>Distance after coarse sensitivity covariates</w:t>
            </w:r>
          </w:p>
        </w:tc>
      </w:tr>
      <w:tr>
        <w:tc>
          <w:tcPr>
            <w:tcW w:type="dxa" w:w="2340"/>
          </w:tcPr>
          <w:p>
            <w:pPr>
              <w:spacing w:line="240" w:lineRule="auto"/>
            </w:pPr>
            <w:r>
              <w:rPr>
                <w:rFonts w:ascii="Arial" w:hAnsi="Arial"/>
                <w:b w:val="0"/>
                <w:sz w:val="17"/>
              </w:rPr>
              <w:t>Distance-only R²</w:t>
            </w:r>
          </w:p>
        </w:tc>
        <w:tc>
          <w:tcPr>
            <w:tcW w:type="dxa" w:w="2340"/>
          </w:tcPr>
          <w:p>
            <w:pPr>
              <w:spacing w:line="240" w:lineRule="auto"/>
            </w:pPr>
            <w:r>
              <w:rPr>
                <w:rFonts w:ascii="Arial" w:hAnsi="Arial"/>
                <w:b w:val="0"/>
                <w:sz w:val="17"/>
              </w:rPr>
              <w:t>0.2471</w:t>
            </w:r>
          </w:p>
        </w:tc>
        <w:tc>
          <w:tcPr>
            <w:tcW w:type="dxa" w:w="2340"/>
          </w:tcPr>
          <w:p>
            <w:pPr>
              <w:spacing w:line="240" w:lineRule="auto"/>
            </w:pPr>
            <w:r>
              <w:rPr>
                <w:rFonts w:ascii="Arial" w:hAnsi="Arial"/>
                <w:b w:val="0"/>
                <w:sz w:val="17"/>
              </w:rPr>
              <w:t>0.2131</w:t>
            </w:r>
          </w:p>
        </w:tc>
        <w:tc>
          <w:tcPr>
            <w:tcW w:type="dxa" w:w="2340"/>
          </w:tcPr>
          <w:p>
            <w:pPr>
              <w:spacing w:line="240" w:lineRule="auto"/>
            </w:pPr>
            <w:r>
              <w:rPr>
                <w:rFonts w:ascii="Arial" w:hAnsi="Arial"/>
                <w:b w:val="0"/>
                <w:sz w:val="17"/>
              </w:rPr>
              <w:t>Descriptive matrix fit</w:t>
            </w:r>
          </w:p>
        </w:tc>
      </w:tr>
      <w:tr>
        <w:tc>
          <w:tcPr>
            <w:tcW w:type="dxa" w:w="2340"/>
          </w:tcPr>
          <w:p>
            <w:pPr>
              <w:spacing w:line="240" w:lineRule="auto"/>
            </w:pPr>
            <w:r>
              <w:rPr>
                <w:rFonts w:ascii="Arial" w:hAnsi="Arial"/>
                <w:b w:val="0"/>
                <w:sz w:val="17"/>
              </w:rPr>
              <w:t>Expanded descriptive R²</w:t>
            </w:r>
          </w:p>
        </w:tc>
        <w:tc>
          <w:tcPr>
            <w:tcW w:type="dxa" w:w="2340"/>
          </w:tcPr>
          <w:p>
            <w:pPr>
              <w:spacing w:line="240" w:lineRule="auto"/>
            </w:pPr>
            <w:r>
              <w:rPr>
                <w:rFonts w:ascii="Arial" w:hAnsi="Arial"/>
                <w:b w:val="0"/>
                <w:sz w:val="17"/>
              </w:rPr>
              <w:t>0.5461</w:t>
            </w:r>
          </w:p>
        </w:tc>
        <w:tc>
          <w:tcPr>
            <w:tcW w:type="dxa" w:w="2340"/>
          </w:tcPr>
          <w:p>
            <w:pPr>
              <w:spacing w:line="240" w:lineRule="auto"/>
            </w:pPr>
            <w:r>
              <w:rPr>
                <w:rFonts w:ascii="Arial" w:hAnsi="Arial"/>
                <w:b w:val="0"/>
                <w:sz w:val="17"/>
              </w:rPr>
              <w:t>0.5113</w:t>
            </w:r>
          </w:p>
        </w:tc>
        <w:tc>
          <w:tcPr>
            <w:tcW w:type="dxa" w:w="2340"/>
          </w:tcPr>
          <w:p>
            <w:pPr>
              <w:spacing w:line="240" w:lineRule="auto"/>
            </w:pPr>
            <w:r>
              <w:rPr>
                <w:rFonts w:ascii="Arial" w:hAnsi="Arial"/>
                <w:b w:val="0"/>
                <w:sz w:val="17"/>
              </w:rPr>
              <w:t>Not an independent-pair causal estimate</w:t>
            </w:r>
          </w:p>
        </w:tc>
      </w:tr>
      <w:tr>
        <w:tc>
          <w:tcPr>
            <w:tcW w:type="dxa" w:w="2340"/>
          </w:tcPr>
          <w:p>
            <w:pPr>
              <w:spacing w:line="240" w:lineRule="auto"/>
            </w:pPr>
            <w:r>
              <w:rPr>
                <w:rFonts w:ascii="Arial" w:hAnsi="Arial"/>
                <w:b w:val="0"/>
                <w:sz w:val="17"/>
              </w:rPr>
              <w:t>QAP distance coefficient / 1,000 km</w:t>
            </w:r>
          </w:p>
        </w:tc>
        <w:tc>
          <w:tcPr>
            <w:tcW w:type="dxa" w:w="2340"/>
          </w:tcPr>
          <w:p>
            <w:pPr>
              <w:spacing w:line="240" w:lineRule="auto"/>
            </w:pPr>
            <w:r>
              <w:rPr>
                <w:rFonts w:ascii="Arial" w:hAnsi="Arial"/>
                <w:b w:val="0"/>
                <w:sz w:val="17"/>
              </w:rPr>
              <w:t>-0.01892</w:t>
            </w:r>
          </w:p>
        </w:tc>
        <w:tc>
          <w:tcPr>
            <w:tcW w:type="dxa" w:w="2340"/>
          </w:tcPr>
          <w:p>
            <w:pPr>
              <w:spacing w:line="240" w:lineRule="auto"/>
            </w:pPr>
            <w:r>
              <w:rPr>
                <w:rFonts w:ascii="Arial" w:hAnsi="Arial"/>
                <w:b w:val="0"/>
                <w:sz w:val="17"/>
              </w:rPr>
              <w:t>-0.01918</w:t>
            </w:r>
          </w:p>
        </w:tc>
        <w:tc>
          <w:tcPr>
            <w:tcW w:type="dxa" w:w="2340"/>
          </w:tcPr>
          <w:p>
            <w:pPr>
              <w:spacing w:line="240" w:lineRule="auto"/>
            </w:pPr>
            <w:r>
              <w:rPr>
                <w:rFonts w:ascii="Arial" w:hAnsi="Arial"/>
                <w:b w:val="0"/>
                <w:sz w:val="17"/>
              </w:rPr>
              <w:t>Expanded model</w:t>
            </w:r>
          </w:p>
        </w:tc>
      </w:tr>
      <w:tr>
        <w:tc>
          <w:tcPr>
            <w:tcW w:type="dxa" w:w="2340"/>
          </w:tcPr>
          <w:p>
            <w:pPr>
              <w:spacing w:line="240" w:lineRule="auto"/>
            </w:pPr>
            <w:r>
              <w:rPr>
                <w:rFonts w:ascii="Arial" w:hAnsi="Arial"/>
                <w:b w:val="0"/>
                <w:sz w:val="17"/>
              </w:rPr>
              <w:t>QAP two-sided P</w:t>
            </w:r>
          </w:p>
        </w:tc>
        <w:tc>
          <w:tcPr>
            <w:tcW w:type="dxa" w:w="2340"/>
          </w:tcPr>
          <w:p>
            <w:pPr>
              <w:spacing w:line="240" w:lineRule="auto"/>
            </w:pPr>
            <w:r>
              <w:rPr>
                <w:rFonts w:ascii="Arial" w:hAnsi="Arial"/>
                <w:b w:val="0"/>
                <w:sz w:val="17"/>
              </w:rPr>
              <w:t>0.0001</w:t>
            </w:r>
          </w:p>
        </w:tc>
        <w:tc>
          <w:tcPr>
            <w:tcW w:type="dxa" w:w="2340"/>
          </w:tcPr>
          <w:p>
            <w:pPr>
              <w:spacing w:line="240" w:lineRule="auto"/>
            </w:pPr>
            <w:r>
              <w:rPr>
                <w:rFonts w:ascii="Arial" w:hAnsi="Arial"/>
                <w:b w:val="0"/>
                <w:sz w:val="17"/>
              </w:rPr>
              <w:t>0.0002</w:t>
            </w:r>
          </w:p>
        </w:tc>
        <w:tc>
          <w:tcPr>
            <w:tcW w:type="dxa" w:w="2340"/>
          </w:tcPr>
          <w:p>
            <w:pPr>
              <w:spacing w:line="240" w:lineRule="auto"/>
            </w:pPr>
            <w:r>
              <w:rPr>
                <w:rFonts w:ascii="Arial" w:hAnsi="Arial"/>
                <w:b w:val="0"/>
                <w:sz w:val="17"/>
              </w:rPr>
              <w:t>9,999 population-label permutations</w:t>
            </w:r>
          </w:p>
        </w:tc>
      </w:tr>
      <w:tr>
        <w:tc>
          <w:tcPr>
            <w:tcW w:type="dxa" w:w="2340"/>
          </w:tcPr>
          <w:p>
            <w:pPr>
              <w:spacing w:line="240" w:lineRule="auto"/>
            </w:pPr>
            <w:r>
              <w:rPr>
                <w:rFonts w:ascii="Arial" w:hAnsi="Arial"/>
                <w:b w:val="0"/>
                <w:sz w:val="17"/>
              </w:rPr>
              <w:t>Population-deletion interval</w:t>
            </w:r>
          </w:p>
        </w:tc>
        <w:tc>
          <w:tcPr>
            <w:tcW w:type="dxa" w:w="2340"/>
          </w:tcPr>
          <w:p>
            <w:pPr>
              <w:spacing w:line="240" w:lineRule="auto"/>
            </w:pPr>
            <w:r>
              <w:rPr>
                <w:rFonts w:ascii="Arial" w:hAnsi="Arial"/>
                <w:b w:val="0"/>
                <w:sz w:val="17"/>
              </w:rPr>
              <w:t>-0.02143 to -0.01770</w:t>
            </w:r>
          </w:p>
        </w:tc>
        <w:tc>
          <w:tcPr>
            <w:tcW w:type="dxa" w:w="2340"/>
          </w:tcPr>
          <w:p>
            <w:pPr>
              <w:spacing w:line="240" w:lineRule="auto"/>
            </w:pPr>
            <w:r>
              <w:rPr>
                <w:rFonts w:ascii="Arial" w:hAnsi="Arial"/>
                <w:b w:val="0"/>
                <w:sz w:val="17"/>
              </w:rPr>
              <w:t>-0.02112 to -0.01775</w:t>
            </w:r>
          </w:p>
        </w:tc>
        <w:tc>
          <w:tcPr>
            <w:tcW w:type="dxa" w:w="2340"/>
          </w:tcPr>
          <w:p>
            <w:pPr>
              <w:spacing w:line="240" w:lineRule="auto"/>
            </w:pPr>
            <w:r>
              <w:rPr>
                <w:rFonts w:ascii="Arial" w:hAnsi="Arial"/>
                <w:b w:val="0"/>
                <w:sz w:val="17"/>
              </w:rPr>
              <w:t>2.5th-97.5th percentile sensitivity interval</w:t>
            </w:r>
          </w:p>
        </w:tc>
      </w:tr>
      <w:tr>
        <w:tc>
          <w:tcPr>
            <w:tcW w:type="dxa" w:w="2340"/>
          </w:tcPr>
          <w:p>
            <w:pPr>
              <w:spacing w:line="240" w:lineRule="auto"/>
            </w:pPr>
            <w:r>
              <w:rPr>
                <w:rFonts w:ascii="Arial" w:hAnsi="Arial"/>
                <w:b w:val="0"/>
                <w:sz w:val="17"/>
              </w:rPr>
              <w:t>FDR q&lt;0.10 and positive z&gt;2 outliers</w:t>
            </w:r>
          </w:p>
        </w:tc>
        <w:tc>
          <w:tcPr>
            <w:tcW w:type="dxa" w:w="2340"/>
          </w:tcPr>
          <w:p>
            <w:pPr>
              <w:spacing w:line="240" w:lineRule="auto"/>
            </w:pPr>
            <w:r>
              <w:rPr>
                <w:rFonts w:ascii="Arial" w:hAnsi="Arial"/>
                <w:b w:val="0"/>
                <w:sz w:val="17"/>
              </w:rPr>
              <w:t>0</w:t>
            </w:r>
          </w:p>
        </w:tc>
        <w:tc>
          <w:tcPr>
            <w:tcW w:type="dxa" w:w="2340"/>
          </w:tcPr>
          <w:p>
            <w:pPr>
              <w:spacing w:line="240" w:lineRule="auto"/>
            </w:pPr>
            <w:r>
              <w:rPr>
                <w:rFonts w:ascii="Arial" w:hAnsi="Arial"/>
                <w:b w:val="0"/>
                <w:sz w:val="17"/>
              </w:rPr>
              <w:t>0</w:t>
            </w:r>
          </w:p>
        </w:tc>
        <w:tc>
          <w:tcPr>
            <w:tcW w:type="dxa" w:w="2340"/>
          </w:tcPr>
          <w:p>
            <w:pPr>
              <w:spacing w:line="240" w:lineRule="auto"/>
            </w:pPr>
            <w:r>
              <w:rPr>
                <w:rFonts w:ascii="Arial" w:hAnsi="Arial"/>
                <w:b w:val="0"/>
                <w:sz w:val="17"/>
              </w:rPr>
              <w:t>All non-admixed pairs tested within ancestry</w:t>
            </w:r>
          </w:p>
        </w:tc>
      </w:tr>
    </w:tbl>
    <w:p>
      <w:pPr>
        <w:spacing w:line="240" w:lineRule="auto"/>
      </w:pPr>
      <w:r>
        <w:rPr>
          <w:sz w:val="18"/>
        </w:rPr>
        <w:t>Note. R-squared and correlation values are descriptive. QAP tests permute population labels on the response matrix. Population-deletion intervals are sensitivity summaries, not independent-sample confidence intervals.</w:t>
      </w:r>
    </w:p>
    <w:p>
      <w:pPr>
        <w:pStyle w:val="Heading2"/>
      </w:pPr>
      <w:r>
        <w:t>Population structure and robustness</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 Negative distance correlations were examined across admixture exclusions, within-dataset subsets, minimum sample sizes, and regional omissions (Figure 3). Window-size results at 250 kb, 500 kb, and 1 Mb are shown in Figure S2. These analyses were treated as robustness checks rather than independent confirmatory tests.</w:t>
      </w:r>
    </w:p>
    <w:p>
      <w:pPr>
        <w:spacing w:before="320"/>
        <w:jc w:val="center"/>
      </w:pPr>
      <w:r>
        <w:drawing>
          <wp:inline xmlns:a="http://schemas.openxmlformats.org/drawingml/2006/main" xmlns:pic="http://schemas.openxmlformats.org/drawingml/2006/picture">
            <wp:extent cx="5806440" cy="2967797"/>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967797"/>
                    </a:xfrm>
                    <a:prstGeom prst="rect"/>
                  </pic:spPr>
                </pic:pic>
              </a:graphicData>
            </a:graphic>
          </wp:inline>
        </w:drawing>
      </w:r>
    </w:p>
    <w:p>
      <w:pPr>
        <w:spacing w:before="200" w:line="276" w:lineRule="auto"/>
      </w:pPr>
      <w:r>
        <w:rPr>
          <w:b/>
        </w:rPr>
        <w:t xml:space="preserve">Figure 2. </w:t>
      </w:r>
      <w:r>
        <w:t>Pairwise archaic-segment profile similarity for 31 prespecified populations. The subset is displayed for legibility; all 66 populations were analyzed.</w:t>
      </w:r>
    </w:p>
    <w:p>
      <w:pPr>
        <w:spacing w:before="320"/>
        <w:jc w:val="center"/>
      </w:pPr>
      <w:r>
        <w:drawing>
          <wp:inline xmlns:a="http://schemas.openxmlformats.org/drawingml/2006/main" xmlns:pic="http://schemas.openxmlformats.org/drawingml/2006/picture">
            <wp:extent cx="5806440" cy="4035734"/>
            <wp:docPr id="3" name="Picture 3"/>
            <wp:cNvGraphicFramePr>
              <a:graphicFrameLocks noChangeAspect="1"/>
            </wp:cNvGraphicFramePr>
            <a:graphic>
              <a:graphicData uri="http://schemas.openxmlformats.org/drawingml/2006/picture">
                <pic:pic>
                  <pic:nvPicPr>
                    <pic:cNvPr id="0" name="fig4_sensitivity_admixed.png"/>
                    <pic:cNvPicPr/>
                  </pic:nvPicPr>
                  <pic:blipFill>
                    <a:blip r:embed="rId11"/>
                    <a:stretch>
                      <a:fillRect/>
                    </a:stretch>
                  </pic:blipFill>
                  <pic:spPr>
                    <a:xfrm>
                      <a:off x="0" y="0"/>
                      <a:ext cx="5806440" cy="4035734"/>
                    </a:xfrm>
                    <a:prstGeom prst="rect"/>
                  </pic:spPr>
                </pic:pic>
              </a:graphicData>
            </a:graphic>
          </wp:inline>
        </w:drawing>
      </w:r>
    </w:p>
    <w:p>
      <w:pPr>
        <w:spacing w:before="200" w:line="276" w:lineRule="auto"/>
      </w:pPr>
      <w:r>
        <w:rPr>
          <w:b/>
        </w:rPr>
        <w:t xml:space="preserve">Figure 3. </w:t>
      </w:r>
      <w:r>
        <w:t>Descriptive distance correlations across population, sample-size, dataset, zero-distance, and leave-one-continent-out sensitivities.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335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4; Table 2). O2 frequencies, an Ancient North Eurasian context diagram, and the non-comparable ancient-window extraction are provided only as Figure S3, Figure S4, and Figure S5.</w:t>
      </w:r>
    </w:p>
    <w:p>
      <w:pPr>
        <w:spacing w:before="320"/>
        <w:jc w:val="center"/>
      </w:pPr>
      <w:r>
        <w:drawing>
          <wp:inline xmlns:a="http://schemas.openxmlformats.org/drawingml/2006/main" xmlns:pic="http://schemas.openxmlformats.org/drawingml/2006/picture">
            <wp:extent cx="5806440" cy="2936455"/>
            <wp:docPr id="4" name="Picture 4"/>
            <wp:cNvGraphicFramePr>
              <a:graphicFrameLocks noChangeAspect="1"/>
            </wp:cNvGraphicFramePr>
            <a:graphic>
              <a:graphicData uri="http://schemas.openxmlformats.org/drawingml/2006/picture">
                <pic:pic>
                  <pic:nvPicPr>
                    <pic:cNvPr id="0" name="fig5_abo_sublineage.png"/>
                    <pic:cNvPicPr/>
                  </pic:nvPicPr>
                  <pic:blipFill>
                    <a:blip r:embed="rId12"/>
                    <a:stretch>
                      <a:fillRect/>
                    </a:stretch>
                  </pic:blipFill>
                  <pic:spPr>
                    <a:xfrm>
                      <a:off x="0" y="0"/>
                      <a:ext cx="5806440" cy="2936455"/>
                    </a:xfrm>
                    <a:prstGeom prst="rect"/>
                  </pic:spPr>
                </pic:pic>
              </a:graphicData>
            </a:graphic>
          </wp:inline>
        </w:drawing>
      </w:r>
    </w:p>
    <w:p>
      <w:pPr>
        <w:spacing w:before="200" w:line="276" w:lineRule="auto"/>
      </w:pPr>
      <w:r>
        <w:rPr>
          <w:b/>
        </w:rPr>
        <w:t xml:space="preserve">Figure 4. </w:t>
      </w:r>
      <w:r>
        <w:t>Secondary ABO-centered analysis. Closest-reference counts retain tied maxima. The Pima segment overlaps ABO; the Maya segment is within the wider interval but does not overlap the gene. Counts are segments, not regional frequencies.</w:t>
      </w:r>
    </w:p>
    <w:p>
      <w:pPr>
        <w:spacing w:before="280"/>
      </w:pPr>
      <w:r>
        <w:rPr>
          <w:b/>
        </w:rPr>
        <w:t>Table 2. ABO-window Neanderthal-reference composition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Group</w:t>
            </w:r>
          </w:p>
        </w:tc>
        <w:tc>
          <w:tcPr>
            <w:tcW w:type="dxa" w:w="1337"/>
            <w:shd w:fill="D9EAF7"/>
          </w:tcPr>
          <w:p>
            <w:pPr>
              <w:spacing w:line="240" w:lineRule="auto"/>
            </w:pPr>
            <w:r>
              <w:rPr>
                <w:rFonts w:ascii="Arial" w:hAnsi="Arial"/>
                <w:b/>
                <w:sz w:val="17"/>
              </w:rPr>
              <w:t>Segments</w:t>
            </w:r>
          </w:p>
        </w:tc>
        <w:tc>
          <w:tcPr>
            <w:tcW w:type="dxa" w:w="1337"/>
            <w:shd w:fill="D9EAF7"/>
          </w:tcPr>
          <w:p>
            <w:pPr>
              <w:spacing w:line="240" w:lineRule="auto"/>
            </w:pPr>
            <w:r>
              <w:rPr>
                <w:rFonts w:ascii="Arial" w:hAnsi="Arial"/>
                <w:b/>
                <w:sz w:val="17"/>
              </w:rPr>
              <w:t>Vindija %</w:t>
            </w:r>
          </w:p>
        </w:tc>
        <w:tc>
          <w:tcPr>
            <w:tcW w:type="dxa" w:w="1337"/>
            <w:shd w:fill="D9EAF7"/>
          </w:tcPr>
          <w:p>
            <w:pPr>
              <w:spacing w:line="240" w:lineRule="auto"/>
            </w:pPr>
            <w:r>
              <w:rPr>
                <w:rFonts w:ascii="Arial" w:hAnsi="Arial"/>
                <w:b/>
                <w:sz w:val="17"/>
              </w:rPr>
              <w:t>Altai %</w:t>
            </w:r>
          </w:p>
        </w:tc>
        <w:tc>
          <w:tcPr>
            <w:tcW w:type="dxa" w:w="1337"/>
            <w:shd w:fill="D9EAF7"/>
          </w:tcPr>
          <w:p>
            <w:pPr>
              <w:spacing w:line="240" w:lineRule="auto"/>
            </w:pPr>
            <w:r>
              <w:rPr>
                <w:rFonts w:ascii="Arial" w:hAnsi="Arial"/>
                <w:b/>
                <w:sz w:val="17"/>
              </w:rPr>
              <w:t>Chagyrskaya %</w:t>
            </w:r>
          </w:p>
        </w:tc>
        <w:tc>
          <w:tcPr>
            <w:tcW w:type="dxa" w:w="1337"/>
            <w:shd w:fill="D9EAF7"/>
          </w:tcPr>
          <w:p>
            <w:pPr>
              <w:spacing w:line="240" w:lineRule="auto"/>
            </w:pPr>
            <w:r>
              <w:rPr>
                <w:rFonts w:ascii="Arial" w:hAnsi="Arial"/>
                <w:b/>
                <w:sz w:val="17"/>
              </w:rPr>
              <w:t>Tie %</w:t>
            </w:r>
          </w:p>
        </w:tc>
        <w:tc>
          <w:tcPr>
            <w:tcW w:type="dxa" w:w="1337"/>
            <w:shd w:fill="D9EAF7"/>
          </w:tcPr>
          <w:p>
            <w:pPr>
              <w:spacing w:line="240" w:lineRule="auto"/>
            </w:pPr>
            <w:r>
              <w:rPr>
                <w:rFonts w:ascii="Arial" w:hAnsi="Arial"/>
                <w:b/>
                <w:sz w:val="17"/>
              </w:rPr>
              <w:t>Strict ABO overlap</w:t>
            </w:r>
          </w:p>
        </w:tc>
      </w:tr>
      <w:tr>
        <w:tc>
          <w:tcPr>
            <w:tcW w:type="dxa" w:w="1337"/>
          </w:tcPr>
          <w:p>
            <w:pPr>
              <w:spacing w:line="240" w:lineRule="auto"/>
            </w:pPr>
            <w:r>
              <w:rPr>
                <w:rFonts w:ascii="Arial" w:hAnsi="Arial"/>
                <w:b w:val="0"/>
                <w:sz w:val="17"/>
              </w:rPr>
              <w:t>Europe</w:t>
            </w:r>
          </w:p>
        </w:tc>
        <w:tc>
          <w:tcPr>
            <w:tcW w:type="dxa" w:w="1337"/>
          </w:tcPr>
          <w:p>
            <w:pPr>
              <w:spacing w:line="240" w:lineRule="auto"/>
            </w:pPr>
            <w:r>
              <w:rPr>
                <w:rFonts w:ascii="Arial" w:hAnsi="Arial"/>
                <w:b w:val="0"/>
                <w:sz w:val="17"/>
              </w:rPr>
              <w:t>388</w:t>
            </w:r>
          </w:p>
        </w:tc>
        <w:tc>
          <w:tcPr>
            <w:tcW w:type="dxa" w:w="1337"/>
          </w:tcPr>
          <w:p>
            <w:pPr>
              <w:spacing w:line="240" w:lineRule="auto"/>
            </w:pPr>
            <w:r>
              <w:rPr>
                <w:rFonts w:ascii="Arial" w:hAnsi="Arial"/>
                <w:b w:val="0"/>
                <w:sz w:val="17"/>
              </w:rPr>
              <w:t>33.0</w:t>
            </w:r>
          </w:p>
        </w:tc>
        <w:tc>
          <w:tcPr>
            <w:tcW w:type="dxa" w:w="1337"/>
          </w:tcPr>
          <w:p>
            <w:pPr>
              <w:spacing w:line="240" w:lineRule="auto"/>
            </w:pPr>
            <w:r>
              <w:rPr>
                <w:rFonts w:ascii="Arial" w:hAnsi="Arial"/>
                <w:b w:val="0"/>
                <w:sz w:val="17"/>
              </w:rPr>
              <w:t>5.2</w:t>
            </w:r>
          </w:p>
        </w:tc>
        <w:tc>
          <w:tcPr>
            <w:tcW w:type="dxa" w:w="1337"/>
          </w:tcPr>
          <w:p>
            <w:pPr>
              <w:spacing w:line="240" w:lineRule="auto"/>
            </w:pPr>
            <w:r>
              <w:rPr>
                <w:rFonts w:ascii="Arial" w:hAnsi="Arial"/>
                <w:b w:val="0"/>
                <w:sz w:val="17"/>
              </w:rPr>
              <w:t>32.7</w:t>
            </w:r>
          </w:p>
        </w:tc>
        <w:tc>
          <w:tcPr>
            <w:tcW w:type="dxa" w:w="1337"/>
          </w:tcPr>
          <w:p>
            <w:pPr>
              <w:spacing w:line="240" w:lineRule="auto"/>
            </w:pPr>
            <w:r>
              <w:rPr>
                <w:rFonts w:ascii="Arial" w:hAnsi="Arial"/>
                <w:b w:val="0"/>
                <w:sz w:val="17"/>
              </w:rPr>
              <w:t>29.1</w:t>
            </w:r>
          </w:p>
        </w:tc>
        <w:tc>
          <w:tcPr>
            <w:tcW w:type="dxa" w:w="1337"/>
          </w:tcPr>
          <w:p>
            <w:pPr>
              <w:spacing w:line="240" w:lineRule="auto"/>
            </w:pPr>
            <w:r>
              <w:rPr>
                <w:rFonts w:ascii="Arial" w:hAnsi="Arial"/>
                <w:b w:val="0"/>
                <w:sz w:val="17"/>
              </w:rPr>
              <w:t>56</w:t>
            </w:r>
          </w:p>
        </w:tc>
      </w:tr>
      <w:tr>
        <w:tc>
          <w:tcPr>
            <w:tcW w:type="dxa" w:w="1337"/>
          </w:tcPr>
          <w:p>
            <w:pPr>
              <w:spacing w:line="240" w:lineRule="auto"/>
            </w:pPr>
            <w:r>
              <w:rPr>
                <w:rFonts w:ascii="Arial" w:hAnsi="Arial"/>
                <w:b w:val="0"/>
                <w:sz w:val="17"/>
              </w:rPr>
              <w:t>Middle East</w:t>
            </w:r>
          </w:p>
        </w:tc>
        <w:tc>
          <w:tcPr>
            <w:tcW w:type="dxa" w:w="1337"/>
          </w:tcPr>
          <w:p>
            <w:pPr>
              <w:spacing w:line="240" w:lineRule="auto"/>
            </w:pPr>
            <w:r>
              <w:rPr>
                <w:rFonts w:ascii="Arial" w:hAnsi="Arial"/>
                <w:b w:val="0"/>
                <w:sz w:val="17"/>
              </w:rPr>
              <w:t>59</w:t>
            </w:r>
          </w:p>
        </w:tc>
        <w:tc>
          <w:tcPr>
            <w:tcW w:type="dxa" w:w="1337"/>
          </w:tcPr>
          <w:p>
            <w:pPr>
              <w:spacing w:line="240" w:lineRule="auto"/>
            </w:pPr>
            <w:r>
              <w:rPr>
                <w:rFonts w:ascii="Arial" w:hAnsi="Arial"/>
                <w:b w:val="0"/>
                <w:sz w:val="17"/>
              </w:rPr>
              <w:t>39.0</w:t>
            </w:r>
          </w:p>
        </w:tc>
        <w:tc>
          <w:tcPr>
            <w:tcW w:type="dxa" w:w="1337"/>
          </w:tcPr>
          <w:p>
            <w:pPr>
              <w:spacing w:line="240" w:lineRule="auto"/>
            </w:pPr>
            <w:r>
              <w:rPr>
                <w:rFonts w:ascii="Arial" w:hAnsi="Arial"/>
                <w:b w:val="0"/>
                <w:sz w:val="17"/>
              </w:rPr>
              <w:t>8.5</w:t>
            </w:r>
          </w:p>
        </w:tc>
        <w:tc>
          <w:tcPr>
            <w:tcW w:type="dxa" w:w="1337"/>
          </w:tcPr>
          <w:p>
            <w:pPr>
              <w:spacing w:line="240" w:lineRule="auto"/>
            </w:pPr>
            <w:r>
              <w:rPr>
                <w:rFonts w:ascii="Arial" w:hAnsi="Arial"/>
                <w:b w:val="0"/>
                <w:sz w:val="17"/>
              </w:rPr>
              <w:t>27.1</w:t>
            </w:r>
          </w:p>
        </w:tc>
        <w:tc>
          <w:tcPr>
            <w:tcW w:type="dxa" w:w="1337"/>
          </w:tcPr>
          <w:p>
            <w:pPr>
              <w:spacing w:line="240" w:lineRule="auto"/>
            </w:pPr>
            <w:r>
              <w:rPr>
                <w:rFonts w:ascii="Arial" w:hAnsi="Arial"/>
                <w:b w:val="0"/>
                <w:sz w:val="17"/>
              </w:rPr>
              <w:t>25.4</w:t>
            </w:r>
          </w:p>
        </w:tc>
        <w:tc>
          <w:tcPr>
            <w:tcW w:type="dxa" w:w="1337"/>
          </w:tcPr>
          <w:p>
            <w:pPr>
              <w:spacing w:line="240" w:lineRule="auto"/>
            </w:pPr>
            <w:r>
              <w:rPr>
                <w:rFonts w:ascii="Arial" w:hAnsi="Arial"/>
                <w:b w:val="0"/>
                <w:sz w:val="17"/>
              </w:rPr>
              <w:t>8</w:t>
            </w:r>
          </w:p>
        </w:tc>
      </w:tr>
      <w:tr>
        <w:tc>
          <w:tcPr>
            <w:tcW w:type="dxa" w:w="1337"/>
          </w:tcPr>
          <w:p>
            <w:pPr>
              <w:spacing w:line="240" w:lineRule="auto"/>
            </w:pPr>
            <w:r>
              <w:rPr>
                <w:rFonts w:ascii="Arial" w:hAnsi="Arial"/>
                <w:b w:val="0"/>
                <w:sz w:val="17"/>
              </w:rPr>
              <w:t>Central/South Asia</w:t>
            </w:r>
          </w:p>
        </w:tc>
        <w:tc>
          <w:tcPr>
            <w:tcW w:type="dxa" w:w="1337"/>
          </w:tcPr>
          <w:p>
            <w:pPr>
              <w:spacing w:line="240" w:lineRule="auto"/>
            </w:pPr>
            <w:r>
              <w:rPr>
                <w:rFonts w:ascii="Arial" w:hAnsi="Arial"/>
                <w:b w:val="0"/>
                <w:sz w:val="17"/>
              </w:rPr>
              <w:t>140</w:t>
            </w:r>
          </w:p>
        </w:tc>
        <w:tc>
          <w:tcPr>
            <w:tcW w:type="dxa" w:w="1337"/>
          </w:tcPr>
          <w:p>
            <w:pPr>
              <w:spacing w:line="240" w:lineRule="auto"/>
            </w:pPr>
            <w:r>
              <w:rPr>
                <w:rFonts w:ascii="Arial" w:hAnsi="Arial"/>
                <w:b w:val="0"/>
                <w:sz w:val="17"/>
              </w:rPr>
              <w:t>31.4</w:t>
            </w:r>
          </w:p>
        </w:tc>
        <w:tc>
          <w:tcPr>
            <w:tcW w:type="dxa" w:w="1337"/>
          </w:tcPr>
          <w:p>
            <w:pPr>
              <w:spacing w:line="240" w:lineRule="auto"/>
            </w:pPr>
            <w:r>
              <w:rPr>
                <w:rFonts w:ascii="Arial" w:hAnsi="Arial"/>
                <w:b w:val="0"/>
                <w:sz w:val="17"/>
              </w:rPr>
              <w:t>6.4</w:t>
            </w:r>
          </w:p>
        </w:tc>
        <w:tc>
          <w:tcPr>
            <w:tcW w:type="dxa" w:w="1337"/>
          </w:tcPr>
          <w:p>
            <w:pPr>
              <w:spacing w:line="240" w:lineRule="auto"/>
            </w:pPr>
            <w:r>
              <w:rPr>
                <w:rFonts w:ascii="Arial" w:hAnsi="Arial"/>
                <w:b w:val="0"/>
                <w:sz w:val="17"/>
              </w:rPr>
              <w:t>32.1</w:t>
            </w:r>
          </w:p>
        </w:tc>
        <w:tc>
          <w:tcPr>
            <w:tcW w:type="dxa" w:w="1337"/>
          </w:tcPr>
          <w:p>
            <w:pPr>
              <w:spacing w:line="240" w:lineRule="auto"/>
            </w:pPr>
            <w:r>
              <w:rPr>
                <w:rFonts w:ascii="Arial" w:hAnsi="Arial"/>
                <w:b w:val="0"/>
                <w:sz w:val="17"/>
              </w:rPr>
              <w:t>30.0</w:t>
            </w:r>
          </w:p>
        </w:tc>
        <w:tc>
          <w:tcPr>
            <w:tcW w:type="dxa" w:w="1337"/>
          </w:tcPr>
          <w:p>
            <w:pPr>
              <w:spacing w:line="240" w:lineRule="auto"/>
            </w:pPr>
            <w:r>
              <w:rPr>
                <w:rFonts w:ascii="Arial" w:hAnsi="Arial"/>
                <w:b w:val="0"/>
                <w:sz w:val="17"/>
              </w:rPr>
              <w:t>31</w:t>
            </w:r>
          </w:p>
        </w:tc>
      </w:tr>
      <w:tr>
        <w:tc>
          <w:tcPr>
            <w:tcW w:type="dxa" w:w="1337"/>
          </w:tcPr>
          <w:p>
            <w:pPr>
              <w:spacing w:line="240" w:lineRule="auto"/>
            </w:pPr>
            <w:r>
              <w:rPr>
                <w:rFonts w:ascii="Arial" w:hAnsi="Arial"/>
                <w:b w:val="0"/>
                <w:sz w:val="17"/>
              </w:rPr>
              <w:t>East Asia</w:t>
            </w:r>
          </w:p>
        </w:tc>
        <w:tc>
          <w:tcPr>
            <w:tcW w:type="dxa" w:w="1337"/>
          </w:tcPr>
          <w:p>
            <w:pPr>
              <w:spacing w:line="240" w:lineRule="auto"/>
            </w:pPr>
            <w:r>
              <w:rPr>
                <w:rFonts w:ascii="Arial" w:hAnsi="Arial"/>
                <w:b w:val="0"/>
                <w:sz w:val="17"/>
              </w:rPr>
              <w:t>69</w:t>
            </w:r>
          </w:p>
        </w:tc>
        <w:tc>
          <w:tcPr>
            <w:tcW w:type="dxa" w:w="1337"/>
          </w:tcPr>
          <w:p>
            <w:pPr>
              <w:spacing w:line="240" w:lineRule="auto"/>
            </w:pPr>
            <w:r>
              <w:rPr>
                <w:rFonts w:ascii="Arial" w:hAnsi="Arial"/>
                <w:b w:val="0"/>
                <w:sz w:val="17"/>
              </w:rPr>
              <w:t>1.4</w:t>
            </w:r>
          </w:p>
        </w:tc>
        <w:tc>
          <w:tcPr>
            <w:tcW w:type="dxa" w:w="1337"/>
          </w:tcPr>
          <w:p>
            <w:pPr>
              <w:spacing w:line="240" w:lineRule="auto"/>
            </w:pPr>
            <w:r>
              <w:rPr>
                <w:rFonts w:ascii="Arial" w:hAnsi="Arial"/>
                <w:b w:val="0"/>
                <w:sz w:val="17"/>
              </w:rPr>
              <w:t>44.9</w:t>
            </w:r>
          </w:p>
        </w:tc>
        <w:tc>
          <w:tcPr>
            <w:tcW w:type="dxa" w:w="1337"/>
          </w:tcPr>
          <w:p>
            <w:pPr>
              <w:spacing w:line="240" w:lineRule="auto"/>
            </w:pPr>
            <w:r>
              <w:rPr>
                <w:rFonts w:ascii="Arial" w:hAnsi="Arial"/>
                <w:b w:val="0"/>
                <w:sz w:val="17"/>
              </w:rPr>
              <w:t>36.2</w:t>
            </w:r>
          </w:p>
        </w:tc>
        <w:tc>
          <w:tcPr>
            <w:tcW w:type="dxa" w:w="1337"/>
          </w:tcPr>
          <w:p>
            <w:pPr>
              <w:spacing w:line="240" w:lineRule="auto"/>
            </w:pPr>
            <w:r>
              <w:rPr>
                <w:rFonts w:ascii="Arial" w:hAnsi="Arial"/>
                <w:b w:val="0"/>
                <w:sz w:val="17"/>
              </w:rPr>
              <w:t>17.4</w:t>
            </w:r>
          </w:p>
        </w:tc>
        <w:tc>
          <w:tcPr>
            <w:tcW w:type="dxa" w:w="1337"/>
          </w:tcPr>
          <w:p>
            <w:pPr>
              <w:spacing w:line="240" w:lineRule="auto"/>
            </w:pPr>
            <w:r>
              <w:rPr>
                <w:rFonts w:ascii="Arial" w:hAnsi="Arial"/>
                <w:b w:val="0"/>
                <w:sz w:val="17"/>
              </w:rPr>
              <w:t>12</w:t>
            </w:r>
          </w:p>
        </w:tc>
      </w:tr>
      <w:tr>
        <w:tc>
          <w:tcPr>
            <w:tcW w:type="dxa" w:w="1337"/>
          </w:tcPr>
          <w:p>
            <w:pPr>
              <w:spacing w:line="240" w:lineRule="auto"/>
            </w:pPr>
            <w:r>
              <w:rPr>
                <w:rFonts w:ascii="Arial" w:hAnsi="Arial"/>
                <w:b w:val="0"/>
                <w:sz w:val="17"/>
              </w:rPr>
              <w:t>Oceania</w:t>
            </w:r>
          </w:p>
        </w:tc>
        <w:tc>
          <w:tcPr>
            <w:tcW w:type="dxa" w:w="1337"/>
          </w:tcPr>
          <w:p>
            <w:pPr>
              <w:spacing w:line="240" w:lineRule="auto"/>
            </w:pPr>
            <w:r>
              <w:rPr>
                <w:rFonts w:ascii="Arial" w:hAnsi="Arial"/>
                <w:b w:val="0"/>
                <w:sz w:val="17"/>
              </w:rPr>
              <w:t>26</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50.0</w:t>
            </w:r>
          </w:p>
        </w:tc>
        <w:tc>
          <w:tcPr>
            <w:tcW w:type="dxa" w:w="1337"/>
          </w:tcPr>
          <w:p>
            <w:pPr>
              <w:spacing w:line="240" w:lineRule="auto"/>
            </w:pPr>
            <w:r>
              <w:rPr>
                <w:rFonts w:ascii="Arial" w:hAnsi="Arial"/>
                <w:b w:val="0"/>
                <w:sz w:val="17"/>
              </w:rPr>
              <w:t>50.0</w:t>
            </w:r>
          </w:p>
        </w:tc>
        <w:tc>
          <w:tcPr>
            <w:tcW w:type="dxa" w:w="1337"/>
          </w:tcPr>
          <w:p>
            <w:pPr>
              <w:spacing w:line="240" w:lineRule="auto"/>
            </w:pPr>
            <w:r>
              <w:rPr>
                <w:rFonts w:ascii="Arial" w:hAnsi="Arial"/>
                <w:b w:val="0"/>
                <w:sz w:val="17"/>
              </w:rPr>
              <w:t>1</w:t>
            </w:r>
          </w:p>
        </w:tc>
      </w:tr>
      <w:tr>
        <w:tc>
          <w:tcPr>
            <w:tcW w:type="dxa" w:w="1337"/>
          </w:tcPr>
          <w:p>
            <w:pPr>
              <w:spacing w:line="240" w:lineRule="auto"/>
            </w:pPr>
            <w:r>
              <w:rPr>
                <w:rFonts w:ascii="Arial" w:hAnsi="Arial"/>
                <w:b w:val="0"/>
                <w:sz w:val="17"/>
              </w:rPr>
              <w:t>Admixed Americas</w:t>
            </w:r>
          </w:p>
        </w:tc>
        <w:tc>
          <w:tcPr>
            <w:tcW w:type="dxa" w:w="1337"/>
          </w:tcPr>
          <w:p>
            <w:pPr>
              <w:spacing w:line="240" w:lineRule="auto"/>
            </w:pPr>
            <w:r>
              <w:rPr>
                <w:rFonts w:ascii="Arial" w:hAnsi="Arial"/>
                <w:b w:val="0"/>
                <w:sz w:val="17"/>
              </w:rPr>
              <w:t>150</w:t>
            </w:r>
          </w:p>
        </w:tc>
        <w:tc>
          <w:tcPr>
            <w:tcW w:type="dxa" w:w="1337"/>
          </w:tcPr>
          <w:p>
            <w:pPr>
              <w:spacing w:line="240" w:lineRule="auto"/>
            </w:pPr>
            <w:r>
              <w:rPr>
                <w:rFonts w:ascii="Arial" w:hAnsi="Arial"/>
                <w:b w:val="0"/>
                <w:sz w:val="17"/>
              </w:rPr>
              <w:t>40.0</w:t>
            </w:r>
          </w:p>
        </w:tc>
        <w:tc>
          <w:tcPr>
            <w:tcW w:type="dxa" w:w="1337"/>
          </w:tcPr>
          <w:p>
            <w:pPr>
              <w:spacing w:line="240" w:lineRule="auto"/>
            </w:pPr>
            <w:r>
              <w:rPr>
                <w:rFonts w:ascii="Arial" w:hAnsi="Arial"/>
                <w:b w:val="0"/>
                <w:sz w:val="17"/>
              </w:rPr>
              <w:t>2.0</w:t>
            </w:r>
          </w:p>
        </w:tc>
        <w:tc>
          <w:tcPr>
            <w:tcW w:type="dxa" w:w="1337"/>
          </w:tcPr>
          <w:p>
            <w:pPr>
              <w:spacing w:line="240" w:lineRule="auto"/>
            </w:pPr>
            <w:r>
              <w:rPr>
                <w:rFonts w:ascii="Arial" w:hAnsi="Arial"/>
                <w:b w:val="0"/>
                <w:sz w:val="17"/>
              </w:rPr>
              <w:t>23.3</w:t>
            </w:r>
          </w:p>
        </w:tc>
        <w:tc>
          <w:tcPr>
            <w:tcW w:type="dxa" w:w="1337"/>
          </w:tcPr>
          <w:p>
            <w:pPr>
              <w:spacing w:line="240" w:lineRule="auto"/>
            </w:pPr>
            <w:r>
              <w:rPr>
                <w:rFonts w:ascii="Arial" w:hAnsi="Arial"/>
                <w:b w:val="0"/>
                <w:sz w:val="17"/>
              </w:rPr>
              <w:t>34.7</w:t>
            </w:r>
          </w:p>
        </w:tc>
        <w:tc>
          <w:tcPr>
            <w:tcW w:type="dxa" w:w="1337"/>
          </w:tcPr>
          <w:p>
            <w:pPr>
              <w:spacing w:line="240" w:lineRule="auto"/>
            </w:pPr>
            <w:r>
              <w:rPr>
                <w:rFonts w:ascii="Arial" w:hAnsi="Arial"/>
                <w:b w:val="0"/>
                <w:sz w:val="17"/>
              </w:rPr>
              <w:t>20</w:t>
            </w:r>
          </w:p>
        </w:tc>
      </w:tr>
      <w:tr>
        <w:tc>
          <w:tcPr>
            <w:tcW w:type="dxa" w:w="1337"/>
          </w:tcPr>
          <w:p>
            <w:pPr>
              <w:spacing w:line="240" w:lineRule="auto"/>
            </w:pPr>
            <w:r>
              <w:rPr>
                <w:rFonts w:ascii="Arial" w:hAnsi="Arial"/>
                <w:b w:val="0"/>
                <w:sz w:val="17"/>
              </w:rPr>
              <w:t>Indigenous Americas</w:t>
            </w:r>
          </w:p>
        </w:tc>
        <w:tc>
          <w:tcPr>
            <w:tcW w:type="dxa" w:w="1337"/>
          </w:tcPr>
          <w:p>
            <w:pPr>
              <w:spacing w:line="240" w:lineRule="auto"/>
            </w:pPr>
            <w:r>
              <w:rPr>
                <w:rFonts w:ascii="Arial" w:hAnsi="Arial"/>
                <w:b w:val="0"/>
                <w:sz w:val="17"/>
              </w:rPr>
              <w:t>2</w:t>
            </w:r>
          </w:p>
        </w:tc>
        <w:tc>
          <w:tcPr>
            <w:tcW w:type="dxa" w:w="1337"/>
          </w:tcPr>
          <w:p>
            <w:pPr>
              <w:spacing w:line="240" w:lineRule="auto"/>
            </w:pPr>
            <w:r>
              <w:rPr>
                <w:rFonts w:ascii="Arial" w:hAnsi="Arial"/>
                <w:b w:val="0"/>
                <w:sz w:val="17"/>
              </w:rPr>
              <w:t>100.0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1</w:t>
            </w:r>
          </w:p>
        </w:tc>
      </w:tr>
    </w:tbl>
    <w:p>
      <w:pPr>
        <w:spacing w:line="240" w:lineRule="auto"/>
      </w:pPr>
      <w:r>
        <w:rPr>
          <w:sz w:val="18"/>
        </w:rPr>
        <w:t>Note. Counts are segments, not individuals. Equal maximum similarity counts are reported as ties. The Indigenous American row contains two segments, only one of which overlaps ABO.</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should replace all values from the earlier prototype analysis.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The result supports a descriptive relationship between geography and the genomic distribution of inferred archaic segments. It does not establish an exceptional population pair, an ABO-mediated migration history, or a specific route through Beringia or island Southeast Asia.</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ajba-critical-revision-2026-07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spacing w:line="276" w:lineRule="auto" w:after="80"/>
        <w:ind w:hanging="360" w:left="360"/>
      </w:pPr>
      <w:r>
        <w:rPr>
          <w:sz w:val="20"/>
        </w:rPr>
        <w:t>Turner, Trudy R. 2025. “Changes to Submissions to the AJBA.” American Journal of Biological Anthropology 186: e70026. https://doi.org/10.1002/ajpa.70026.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distance decay in population-level Neanderthal and Denisovan segment profiles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