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Targeted environmental regulation and secondary market vaporizer prices: an observational analysis of the EU desflurane phase-out</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~280 (max 300)</w:t>
      </w:r>
    </w:p>
    <w:p>
      <w:r>
        <w:rPr>
          <w:b w:val="0"/>
          <w:i w:val="0"/>
          <w:sz w:val="20"/>
        </w:rPr>
        <w:t>Number of references: 22</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restricted desflurane—the volatile anesthetic with the highest commonly reported 100-year global warming potential (GWP100 ≈ 2540 CO₂ equivalents)—for routine use from 1 January 2026 under Regulation (EU) 2024/573, with exemptions for clinically necessary cases. Whether this targeted environmental regulation was associated with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 Sensitivity analyses included bootstrap resampling (10,000 iterations), post-hoc power simulation under observed lognormal parameters, and a comparative interrupted time-series (CITS) model of monthly median prices with sevoflurane and isoflurane as controls.</w:t>
      </w:r>
    </w:p>
    <w:p>
      <w:r>
        <w:rPr>
          <w:b/>
          <w:i w:val="0"/>
          <w:sz w:val="24"/>
        </w:rPr>
        <w:t xml:space="preserve">Results: </w:t>
      </w:r>
      <w:r>
        <w:rPr>
          <w:b w:val="0"/>
          <w:i w:val="0"/>
          <w:sz w:val="24"/>
        </w:rPr>
        <w:t>1033 completed sales were analyzed (158 desflurane, 321 sevoflurane, 554 isoflurane). Desflurane vaporizer prices showed a significant downward trend (Spearman ρ=-0.28, P&lt;0.001; Kendall τ=-0.12, P=0.049), with a 31% decline from pre-ban (mean US$238 ± 195) to post-ban (US$164 ± 113; Cohen’s d=-0.47). Neither sevoflurane (ρ=0.01, P=0.862) nor isoflurane (ρ=-0.09, P=0.044) showed significant temporal trends.</w:t>
      </w:r>
    </w:p>
    <w:p>
      <w:r>
        <w:rPr>
          <w:b/>
          <w:i w:val="0"/>
          <w:sz w:val="24"/>
        </w:rPr>
        <w:t xml:space="preserve">Conclusions: </w:t>
      </w:r>
      <w:r>
        <w:rPr>
          <w:b w:val="0"/>
          <w:i w:val="0"/>
          <w:sz w:val="24"/>
        </w:rPr>
        <w:t>Desflurane vaporizer prices on eBay showed an agent-specific decline over the study period; non-regulated agents remained stable. These observational findings are consistent with, but do not prove, an effect of the EU regulation; they should be interpreted as hypothesis-generating given the single-platform design, unmeasured confounders, and the small post-ban sample.</w:t>
      </w:r>
    </w:p>
    <w:p>
      <w:r>
        <w:br w:type="page"/>
      </w:r>
    </w:p>
    <w:p>
      <w:pPr>
        <w:pStyle w:val="Heading1"/>
      </w:pPr>
      <w:r>
        <w:rPr>
          <w:color w:val="000000"/>
        </w:rPr>
        <w:t>Introduction</w:t>
      </w:r>
    </w:p>
    <w:p>
      <w:r>
        <w:rPr>
          <w:sz w:val="24"/>
        </w:rPr>
        <w:t>Environmental regulation of healthcare products is accelerating. The European Union restricted desflurane—the volatile anesthetic with the highest commonly reported 100-year global warming potential (GWP100 ≈ 2540 CO₂ equivalents)</w:t>
      </w:r>
      <w:r>
        <w:rPr>
          <w:sz w:val="24"/>
          <w:vertAlign w:val="superscript"/>
        </w:rPr>
        <w:t>1,2,5–7</w:t>
      </w:r>
      <w:r>
        <w:rPr>
          <w:sz w:val="24"/>
        </w:rPr>
        <w:t>—for routine use from 1 January 2026 under Regulation (EU) 2024/573, while permitting documented clinical exceptions.</w:t>
      </w:r>
      <w:r>
        <w:rPr>
          <w:sz w:val="24"/>
          <w:vertAlign w:val="superscript"/>
        </w:rPr>
        <w:t>2</w:t>
      </w:r>
      <w:r>
        <w:rPr>
          <w:sz w:val="24"/>
        </w:rPr>
        <w:t xml:space="preserve"> The choice of GWP metric and time horizon remains debated for short-lived halogenated anesthetics such as desflurane (atmospheric lifetime ≈ 14 years), because GWP100 may not reflect their instantaneous radiative forcing or steady-state atmospheric concentrations.</w:t>
      </w:r>
      <w:r>
        <w:rPr>
          <w:sz w:val="24"/>
          <w:vertAlign w:val="superscript"/>
        </w:rPr>
        <w:t>3</w:t>
      </w:r>
      <w:r>
        <w:rPr>
          <w:sz w:val="24"/>
        </w:rPr>
        <w:t xml:space="preserve"> Desflurane also has recognized pharmacokinetic advantages, including faster emergence and extubation than sevoflurane in selected surgical populations.</w:t>
      </w:r>
      <w:r>
        <w:rPr>
          <w:sz w:val="24"/>
          <w:vertAlign w:val="superscript"/>
        </w:rPr>
        <w:t>4</w:t>
      </w:r>
      <w:r>
        <w:rPr>
          <w:sz w:val="24"/>
        </w:rPr>
        <w:t xml:space="preserve"> The American Society of Anesthesiologists has recommended deactivation of central nitrous oxide piping on environmental grounds.</w:t>
      </w:r>
      <w:r>
        <w:rPr>
          <w:sz w:val="24"/>
          <w:vertAlign w:val="superscript"/>
        </w:rPr>
        <w:t>8</w:t>
      </w:r>
      <w:r>
        <w:rPr>
          <w:sz w:val="24"/>
        </w:rPr>
        <w:t xml:space="preserve"> NHS England and NHS Scotland have independently decommissioned desflurane.</w:t>
      </w:r>
      <w:r>
        <w:rPr>
          <w:sz w:val="24"/>
          <w:vertAlign w:val="superscript"/>
        </w:rPr>
        <w:t>9,10</w:t>
      </w:r>
      <w:r>
        <w:rPr>
          <w:sz w:val="24"/>
        </w:rPr>
        <w:t xml:space="preserve"> Each of these measures targets a specific agent or delivery system, yet whether such targeted restrictions are associated with collateral economic effects on non-targeted equipment markets has not been empirically examined.</w:t>
      </w:r>
    </w:p>
    <w:p>
      <w:r>
        <w:rPr>
          <w:sz w:val="24"/>
        </w:rPr>
        <w:t>The EU desflurane restriction provides an opportunity to address this question as a natural experiment. First, only a single agent is targeted for routine use; sevoflurane (GWP ≈ 130) and isoflurane (GWP ≈ 510)</w:t>
      </w:r>
      <w:r>
        <w:rPr>
          <w:sz w:val="24"/>
          <w:vertAlign w:val="superscript"/>
        </w:rPr>
        <w:t>11,12</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the 2026 restriction on routine use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13</w:t>
      </w:r>
      <w:r>
        <w:rPr>
          <w:sz w:val="24"/>
        </w:rPr>
        <w:t xml:space="preserve"> the clinical and policy implications of decommissioning programs,</w:t>
      </w:r>
      <w:r>
        <w:rPr>
          <w:sz w:val="24"/>
          <w:vertAlign w:val="superscript"/>
        </w:rPr>
        <w:t>14,15</w:t>
      </w:r>
      <w:r>
        <w:rPr>
          <w:sz w:val="24"/>
        </w:rPr>
        <w:t xml:space="preserve"> the effectiveness of vaporizer removal at the institutional level,</w:t>
      </w:r>
      <w:r>
        <w:rPr>
          <w:sz w:val="24"/>
          <w:vertAlign w:val="superscript"/>
        </w:rPr>
        <w:t>16</w:t>
      </w:r>
      <w:r>
        <w:rPr>
          <w:sz w:val="24"/>
        </w:rPr>
        <w:t xml:space="preserve"> and the cost savings from reduced volatile anesthetic consumption.</w:t>
      </w:r>
      <w:r>
        <w:rPr>
          <w:sz w:val="24"/>
          <w:vertAlign w:val="superscript"/>
        </w:rPr>
        <w:t>17,18</w:t>
      </w:r>
      <w:r>
        <w:rPr>
          <w:sz w:val="24"/>
        </w:rPr>
        <w:t xml:space="preserve"> The secondary market for pre-owned medical equipment has been characterized for other device categories.</w:t>
      </w:r>
      <w:r>
        <w:rPr>
          <w:sz w:val="24"/>
          <w:vertAlign w:val="superscript"/>
        </w:rPr>
        <w:t>19</w:t>
      </w:r>
      <w:r>
        <w:rPr>
          <w:sz w:val="24"/>
        </w:rPr>
        <w:t xml:space="preserve"> However, to our knowledge, no study has examined whether environmental regulation of a single anesthetic agent is associated with targeted secondary-market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stable—suggesting that any market-level changes were concentrated in the regulated agent.</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20</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Sensitivity analyses were performed to assess robustness and to address causal interpretation. First, we used bootstrap resampling (10,000 iterations) of the pre- and post-ban samples to derive non-parametric 95% confidence intervals for the difference in mean and median prices and to obtain bootstrap P values for the Mann–Whitney U and Welch tests. Second, we estimated post-hoc statistical power for the pre-/post-ban Mann–Whitney U test and Welch t-test by simulating 10,000 datasets from lognormal distributions parameterized by the observed pre- and post-ban means and standard deviations. Third, we fitted a comparative interrupted time-series (CITS) model to monthly median prices, with sevoflurane and isoflurane as concurrent controls, to estimate any desflurane-specific level or slope change at the 2026 restriction. A difference-in-differences (DiD) model on log-transformed individual transaction prices was also fitted as a further sensitivity check.</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r>
        <w:rPr>
          <w:b/>
          <w:i w:val="0"/>
          <w:sz w:val="18"/>
        </w:rPr>
        <w:t xml:space="preserve">Note: </w:t>
      </w:r>
      <w:r>
        <w:rPr>
          <w:b w:val="0"/>
          <w:i/>
          <w:sz w:val="18"/>
        </w:rPr>
        <w:t>The Spearman correlation for isoflurane reached nominal significance (P=0.044), but the magnitude was small (ρ=0.081) and the quarterly median trend was not significant; this is therefore not interpreted as a clinically meaningful temporal trend.</w:t>
      </w:r>
    </w:p>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rPr>
          <w:b/>
          <w:i/>
          <w:sz w:val="16"/>
        </w:rPr>
        <w:t xml:space="preserve">Sensitivity: </w:t>
      </w:r>
      <w:r>
        <w:rPr>
          <w:b w:val="0"/>
          <w:i/>
          <w:sz w:val="16"/>
        </w:rPr>
        <w:t>Bootstrap 95% CI for the desflurane pre-/post-ban mean difference: US$-135 to US$-11; median difference: US$-124 to US$50. Post-hoc power (lognormal simulation, n=141/17): Mann–Whitney U 28.4%, Welch t 58.1%.</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Although Spearman correlation reached nominal significance (ρ=-0.09, P=0.044), the magnitude was very small and the quarterly median trend was not significant (ρ=-0.32, P=0.285). A single P value below 0.05 in one of several trend tests is expected under multiple testing and does not indicate a consistent directional trend.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Sensitivity analyses with control series were consistent with the primary time-series findings. In a comparative interrupted time-series model of monthly median prices, desflurane showed a desflurane-specific level decline at the restriction (log-price coefficient=-0.88, P&lt;0.001) and a post-restriction slope difference (coefficient=0.45, P&lt;0.001), whereas isoflurane did not (level-change P=0.602). In a transaction-level difference-in-differences model the desflurane post-restriction coefficient was not significant (log-price coefficient=0.018, P=0.946), partly because a significant pre-existing trend difference was present (P=0.001), violating the parallel-trend assumption. These models support agent-specificity but do not establish causality.</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observational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Sevoflurane and isoflurane vaporizer prices remained comparatively stable throughout—despite being traded on the same marketplace and subject to the same macroeconomic conditions. The convergence of evidence from Spearman rank correlation, Kendall τ, and the between-agent effect size comparison (P=0.043) suggests a progressive and agent-specific desflurane price pattern. However, the single-platform, observational design precludes causal inference; the observed association may be partly or wholly attributable to concurrent secular trends.</w:t>
      </w:r>
    </w:p>
    <w:p>
      <w:r>
        <w:t>The stability of non-regulated agent prices is noteworthy, but it does not demonstrate that the EU regulation caused the desflurane decline. Several alternative explanations should be considered. NHS England and NHS Scotland decommissioned desflurane before the EU restriction took effect, so part of the price decline may reflect UK policy signals rather than EU regulation. A concurrent shift toward total intravenous anesthesia (TIVA) and the growing use of low-flow anesthesia and end-tidal control technologies reduce volatile anesthetic consumption generally, but should affect all agents rather than desflurane alone. Equipment-specific factors—age, model year, service history, cosmetic condition, and calibration certificates—are major determinants of vaporizer pricing and could produce compositional changes that mimic a regulatory effect. Macroeconomic trends and institutional stock reallocation—whereby facilities redistributed existing non-desflurane vaporizers internally rather than purchasing on the secondary market—may also have dampened market effects. The comparators (sevoflurane and isoflurane) are not perfect counterfactuals, but their stability on the same marketplace weakens broad-market explanations.</w:t>
      </w:r>
    </w:p>
    <w:p>
      <w:r>
        <w:t>Generalizability is also limited. eBay is a global consumer-to-consumer and small-business marketplace; transactions by large hospital systems are more likely to occur on specialized business-to-business platforms (e.g., DOTmed, Bimedis) or through private dealer networks, which we could not study. Because eBay does not disclose buyer or seller location, we could not determine whether observed transactions involved EU participants; if a substantial share were outside the EU, the price decline could represent a global reassessment of desflurane’s long-term viability rather than a response confined to EU jurisdiction. Finally, the sample of post-restriction transactions was small, and the bootstrap median-difference confidence interval for desflurane included zero, underscoring the uncertainty of the pre-/post comparison.</w:t>
      </w:r>
    </w:p>
    <w:p>
      <w:r>
        <w:rPr>
          <w:sz w:val="24"/>
        </w:rPr>
        <w:t>To our knowledge, no previous study has examined the secondary market impact of environmental regulation on anesthetic equipment. Lehmann et al.</w:t>
      </w:r>
      <w:r>
        <w:rPr>
          <w:sz w:val="24"/>
          <w:vertAlign w:val="superscript"/>
        </w:rPr>
        <w:t>16</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13</w:t>
      </w:r>
      <w:r>
        <w:rPr>
          <w:sz w:val="24"/>
        </w:rPr>
        <w:t xml:space="preserve"> and Mohammed and Metta</w:t>
      </w:r>
      <w:r>
        <w:rPr>
          <w:sz w:val="24"/>
          <w:vertAlign w:val="superscript"/>
        </w:rPr>
        <w:t>15</w:t>
      </w:r>
      <w:r>
        <w:rPr>
          <w:sz w:val="24"/>
        </w:rPr>
        <w:t xml:space="preserve"> articulated the global and financial rationale for desflurane discontinuation, while Moonesinghe</w:t>
      </w:r>
      <w:r>
        <w:rPr>
          <w:sz w:val="24"/>
          <w:vertAlign w:val="superscript"/>
        </w:rPr>
        <w:t>14</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21</w:t>
      </w:r>
      <w:r>
        <w:rPr>
          <w:sz w:val="24"/>
        </w:rPr>
        <w:t xml:space="preserve"> where anticipated regulatory restrictions are associated with anticipatory declines in asset values. The clinical and environmental trade-offs of restricting desflurane—including its pharmacokinetic advantages, the contested suitability of GWP100 for short-lived anesthetics, and the risk of reducing anesthetic diversity amid recurring propofol and sevoflurane shortages— underscore the need for cautious, evidence-based policy and for market studies that do not rely on a single sales channel.</w:t>
      </w:r>
      <w:r>
        <w:rPr>
          <w:sz w:val="24"/>
          <w:vertAlign w:val="superscript"/>
        </w:rPr>
        <w:t>3,4,22</w:t>
      </w:r>
      <w:r>
        <w:rPr>
          <w:sz w:val="24"/>
        </w:rPr>
      </w:r>
    </w:p>
    <w:p>
      <w:r>
        <w:t>The timing of the price decline may have practical implications. A substantial proportion of the depreciation appears to have occurred before the 2026 restriction took effect, during the legislative process itself. Because NHS England and NHS Scotland had already announced decommissioning, the pre-2026 pattern may partly reflect UK policy signals rather than EU law alone. For anesthesia departments, this observation suggests that early planning for equipment transition—rather than waiting for formal prohibition—may improve cost recovery on the secondary market, although this inference is observational and cannot be translated directly to all jurisdictions.</w:t>
      </w:r>
    </w:p>
    <w:p>
      <w:r>
        <w:t>Strengths of this study include the use of actual completed sale prices (rather than asking prices), a three-year observation window spanning both the legislative process and restriction implementation, the use of multiple complementary statistical approaches (Spearman correlation, Kendall τ trend test, pre-/post-ban comparison, bootstrap resampling, post-hoc power estimation, and CITS/DiD sensitivity analyses),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(e.g., increasing use of total intravenous anesthesia), technological evolution of anesthesia delivery systems (e.g., low-flow and end-tidal control systems), NHS decommissioning announcements that pre-dated the 2026 EU restriction, or broader macroeconomic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and could create compositional effects. Fourth, the post-restriction period (January–March 2026) comprised only 17 desflurane, 34 sevoflurane, and 44 isoflurane transactions, limiting statistical power for the pre-/post-ban comparison. Bootstrap resampling and post-hoc power simulation confirmed that the desflurane Mann–Whitney U test had low power (approximately 28%) and that the median-difference confidence interval included zero; the Welch t-test was more powerful (approximately 58%) and the mean-difference confidence interval excluded zero.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 The DiD and CITS models support agent-specificity but do not satisfy the assumptions required for causal identification; they should be interpreted as sensitivity, not confirmatory, analyses.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8</w:t>
      </w:r>
      <w:r>
        <w:rPr>
          <w:sz w:val="24"/>
        </w:rPr>
        <w:t xml:space="preserve"> Our findings provide preliminary, hypothesis-generating evidence that the EU desflurane restriction on routine use—the first mandatory, agent-specific environmental restriction in anesthesia—was associated with targeted secondary-market price patterns without observable destabilization of the wider equipment market. Future studies with larger post-restriction samples, multiple marketplaces, geographic transaction data, and controlled comparisons will be needed to confirm these findings and to determine whether they generalize to other regulatory contexts.</w:t>
      </w:r>
    </w:p>
    <w:p>
      <w:pPr>
        <w:pStyle w:val="Heading1"/>
      </w:pPr>
      <w:r>
        <w:rPr>
          <w:color w:val="000000"/>
        </w:rPr>
        <w:t>Conclusion</w:t>
      </w:r>
    </w:p>
    <w:p>
      <w:r>
        <w:t>In this observational study, desflurane vaporizer prices on eBay showed a progressive, agent-specific decline during the EU regulatory process, while sevoflurane and isoflurane prices remained comparatively stable. These findings are consistent with the hypothesis that the EU desflurane phase-out was associated with targeted secondary-market effects, but they do not prove causation. They should be interpreted as hypothesis-generating, given the single-platform design, the inability to identify EU-specific transactions, the small post-restriction sample, and the possibility of unmeasured confounders such as NHS decommissioning and secular clinical trends.</w:t>
      </w:r>
    </w:p>
    <w:p>
      <w:pPr>
        <w:pStyle w:val="Heading1"/>
      </w:pPr>
      <w:r>
        <w:rPr>
          <w:color w:val="000000"/>
        </w:rPr>
        <w:t>CRediT authorship contribution statement</w:t>
      </w:r>
    </w:p>
    <w:p>
      <w:r>
        <w:t>[To be completed by authors using CRediT taxonomy]</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Sulbaek Andersen MP, Nielsen OJ, Sherman JD. Assessing the potential climate impact of anaesthetic gases. Lancet Planet Health. 2023;7(7):e622–e629. doi:10.1016/S2542-5196(23)00084-0.</w:t>
      </w:r>
    </w:p>
    <w:p>
      <w:pPr>
        <w:spacing w:after="80"/>
      </w:pPr>
      <w:r>
        <w:rPr>
          <w:sz w:val="20"/>
          <w:vertAlign w:val="superscript"/>
        </w:rPr>
        <w:t xml:space="preserve">4 </w:t>
      </w:r>
      <w:r>
        <w:rPr>
          <w:sz w:val="20"/>
        </w:rPr>
        <w:t>Hariyanto H, Widiastuti M, Pandrya CO, et al. Comparison of desflurane and sevoflurane as maintenance inhalational anaesthetic agents for adult patients undergoing neurosurgeries: a systematic review and meta-analysis of randomised trials. Indian J Anaesth. 2025;69(1):65–77. doi:10.4103/ija.ija_1215_24.</w:t>
      </w:r>
    </w:p>
    <w:p>
      <w:pPr>
        <w:spacing w:after="80"/>
      </w:pPr>
      <w:r>
        <w:rPr>
          <w:sz w:val="20"/>
          <w:vertAlign w:val="superscript"/>
        </w:rPr>
        <w:t xml:space="preserve">5 </w:t>
      </w:r>
      <w:r>
        <w:rPr>
          <w:sz w:val="20"/>
        </w:rPr>
        <w:t>Sherman J, Le C, Lamers V, et al. Life cycle greenhouse gas emissions of anesthetic drugs. Anesth Analg. 2012;114:1086–90.</w:t>
      </w:r>
    </w:p>
    <w:p>
      <w:pPr>
        <w:spacing w:after="80"/>
      </w:pPr>
      <w:r>
        <w:rPr>
          <w:sz w:val="20"/>
          <w:vertAlign w:val="superscript"/>
        </w:rPr>
        <w:t xml:space="preserve">6 </w:t>
      </w:r>
      <w:r>
        <w:rPr>
          <w:sz w:val="20"/>
        </w:rPr>
        <w:t>Hendrickx JFA, Nielsen OJ, De Hert S, et al. The science behind banning desflurane: a narrative review. Eur J Anaesthesiol. 2022;39:818–24.</w:t>
      </w:r>
    </w:p>
    <w:p>
      <w:pPr>
        <w:spacing w:after="80"/>
      </w:pPr>
      <w:r>
        <w:rPr>
          <w:sz w:val="20"/>
          <w:vertAlign w:val="superscript"/>
        </w:rPr>
        <w:t xml:space="preserve">7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8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9 </w:t>
      </w:r>
      <w:r>
        <w:rPr>
          <w:sz w:val="20"/>
        </w:rPr>
        <w:t>McGain F, Muret J, Guen CL, et al. Environmental sustainability in anaesthesia and critical care. Br J Anaesth. 2020;125:680–92.</w:t>
      </w:r>
    </w:p>
    <w:p>
      <w:pPr>
        <w:spacing w:after="80"/>
      </w:pPr>
      <w:r>
        <w:rPr>
          <w:sz w:val="20"/>
          <w:vertAlign w:val="superscript"/>
        </w:rPr>
        <w:t xml:space="preserve">10 </w:t>
      </w:r>
      <w:r>
        <w:rPr>
          <w:sz w:val="20"/>
        </w:rPr>
        <w:t>NHS England. Decommissioning of desflurane in the NHS. 2023.</w:t>
      </w:r>
    </w:p>
    <w:p>
      <w:pPr>
        <w:spacing w:after="80"/>
      </w:pPr>
      <w:r>
        <w:rPr>
          <w:sz w:val="20"/>
          <w:vertAlign w:val="superscript"/>
        </w:rPr>
        <w:t xml:space="preserve">11 </w:t>
      </w:r>
      <w:r>
        <w:rPr>
          <w:sz w:val="20"/>
        </w:rPr>
        <w:t>Sulbaek Andersen MP, Sander SP, Nielsen OJ, et al. Inhalation anaesthetics and climate change. Br J Anaesth. 2010;105:760–6.</w:t>
      </w:r>
    </w:p>
    <w:p>
      <w:pPr>
        <w:spacing w:after="80"/>
      </w:pPr>
      <w:r>
        <w:rPr>
          <w:sz w:val="20"/>
          <w:vertAlign w:val="superscript"/>
        </w:rPr>
        <w:t xml:space="preserve">12 </w:t>
      </w:r>
      <w:r>
        <w:rPr>
          <w:sz w:val="20"/>
        </w:rPr>
        <w:t>Ryan SM, Nielsen CJ. Global warming potential of inhaled anesthetics: application to clinical use. Anesth Analg. 2010;111:92–8.</w:t>
      </w:r>
    </w:p>
    <w:p>
      <w:pPr>
        <w:spacing w:after="80"/>
      </w:pPr>
      <w:r>
        <w:rPr>
          <w:sz w:val="20"/>
          <w:vertAlign w:val="superscript"/>
        </w:rPr>
        <w:t xml:space="preserve">13 </w:t>
      </w:r>
      <w:r>
        <w:rPr>
          <w:sz w:val="20"/>
        </w:rPr>
        <w:t>Meyer MJ. Desflurane should des-appear: global and financial rationale. Anesth Analg. 2020;131:1317–22.</w:t>
      </w:r>
    </w:p>
    <w:p>
      <w:pPr>
        <w:spacing w:after="80"/>
      </w:pPr>
      <w:r>
        <w:rPr>
          <w:sz w:val="20"/>
          <w:vertAlign w:val="superscript"/>
        </w:rPr>
        <w:t xml:space="preserve">14 </w:t>
      </w:r>
      <w:r>
        <w:rPr>
          <w:sz w:val="20"/>
        </w:rPr>
        <w:t>Moonesinghe SR. Desflurane decommissioning: more than meets the eye. Anaesthesia. 2024;79:237–41.</w:t>
      </w:r>
    </w:p>
    <w:p>
      <w:pPr>
        <w:spacing w:after="80"/>
      </w:pPr>
      <w:r>
        <w:rPr>
          <w:sz w:val="20"/>
          <w:vertAlign w:val="superscript"/>
        </w:rPr>
        <w:t xml:space="preserve">15 </w:t>
      </w:r>
      <w:r>
        <w:rPr>
          <w:sz w:val="20"/>
        </w:rPr>
        <w:t>Mohammed A, Metta H. Is it time to bid adieu to desflurane? J Anaesthesiol Clin Pharmacol. 2025;41:211–2.</w:t>
      </w:r>
    </w:p>
    <w:p>
      <w:pPr>
        <w:spacing w:after="80"/>
      </w:pPr>
      <w:r>
        <w:rPr>
          <w:sz w:val="20"/>
          <w:vertAlign w:val="superscript"/>
        </w:rPr>
        <w:t xml:space="preserve">16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17 </w:t>
      </w:r>
      <w:r>
        <w:rPr>
          <w:sz w:val="20"/>
        </w:rPr>
        <w:t>Rauchenwald V, Heuss-Azeez R, Ganter MT, et al. Sevoflurane versus desflurane—an economic analysis. BMC Anesthesiol. 2020;20:272.</w:t>
      </w:r>
    </w:p>
    <w:p>
      <w:pPr>
        <w:spacing w:after="80"/>
      </w:pPr>
      <w:r>
        <w:rPr>
          <w:sz w:val="20"/>
          <w:vertAlign w:val="superscript"/>
        </w:rPr>
        <w:t xml:space="preserve">18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19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20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21 </w:t>
      </w:r>
      <w:r>
        <w:rPr>
          <w:sz w:val="20"/>
        </w:rPr>
        <w:t>Shimbar A. Environment-related stranded assets: what does the market think about the impact of collective climate action on the value of fossil fuel stocks? Energy Econ. 2021;103:105579.</w:t>
      </w:r>
    </w:p>
    <w:p>
      <w:pPr>
        <w:spacing w:after="80"/>
      </w:pPr>
      <w:r>
        <w:rPr>
          <w:sz w:val="20"/>
          <w:vertAlign w:val="superscript"/>
        </w:rPr>
        <w:t xml:space="preserve">22 </w:t>
      </w:r>
      <w:r>
        <w:rPr>
          <w:sz w:val="20"/>
        </w:rPr>
        <w:t>Kranke P, Kleinberg R, Meybohm P, et al. Anesthetic diversity: a pillar of healthcare system resilience and a strategic imperative in an era of uncertainty. Anaesthesiologie. 2026. doi:10.1007/s00101-025-01639-x.</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