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Abstract</w:t>
      </w:r>
    </w:p>
    <w:p>
      <w:pPr>
        <w:spacing w:line="360" w:lineRule="auto"/>
      </w:pPr>
      <w:r>
        <w:t>Objectives: Archaic-like segments near focal loci such as the ABO blood-group gene are frequently read as clues to blood-group history, special population connections, or migration routes, yet such readings are rarely tested against a genome-wide baseline that respects the dependence structure of pairwise data. We build a reproducible, dependence-aware baseline for population-level archaic-segment sharing and use it as a negative control for exceptional-connection and focal-locus interpretations. Materials and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and pair-level residual outliers were evaluated with population-label quadratic assignment permutations and false-discovery-rate control, with sensitivity to window size, similarity metric, sample-size threshold, dataset, zero-distance pairs, and regional omission. Results: Similarity declined with distance for Neanderthal (raw r=-0.497) and Denisovan (raw r=-0.462) profiles; expanded-model partial distance correlations were -0.369 and -0.326, with population-label permutation P values of 0.0001 and 0.0002. No non-admixed pair met both z&gt;2 and false-discovery-rate q&lt;0.10, and a prespecified ABO-window scan yielded no route-level signal. Conclusions: Population-level archaic-segment sharing reflects broad geographic structure, but under dependence-aware inference it supports neither exceptional population pairs nor an ABO-mediated migration narrative. The baseline provides a reusable standard against which focal-locus archaic claims can be evaluated.</w:t>
      </w:r>
    </w:p>
    <w:p>
      <w:r>
        <w:rPr>
          <w:b/>
        </w:rPr>
        <w:t xml:space="preserve">Keywords: </w:t>
      </w:r>
      <w:r>
        <w:t>archaic introgression; Neanderthal; Denisovan;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extracted by a documented, reproducible script from the public Neanderthal-segment catalogue of Iasi et al. (2024), using the GRCh37 ABO interval that corresponds to the GRCh38 window analysed here; ancient and modern calls used different pipelines and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247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literature-derived global bivariate map provides broad Neanderthal and Denisovan ancestry context; its approximate values were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ajhb-submission-2026-07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pStyle w:val="Heading1"/>
      </w:pPr>
      <w:r>
        <w:t>Figure Legends</w:t>
      </w:r>
    </w:p>
    <w:p>
      <w:pPr>
        <w:spacing w:line="360" w:lineRule="auto" w:after="160"/>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line="360" w:lineRule="auto" w:after="160"/>
      </w:pPr>
      <w:r>
        <w:rPr>
          <w:b/>
        </w:rPr>
        <w:t xml:space="preserve">Figure 2. </w:t>
      </w:r>
      <w:r>
        <w:t>Pairwise archaic-segment profile similarity for 31 prespecified populations. The subset is displayed for legibility; all 66 populations were analyzed.</w:t>
      </w:r>
    </w:p>
    <w:p>
      <w:pPr>
        <w:spacing w:line="360" w:lineRule="auto" w:after="160"/>
      </w:pPr>
      <w:r>
        <w:rPr>
          <w:b/>
        </w:rPr>
        <w:t xml:space="preserve">Figure 3. </w:t>
      </w:r>
      <w:r>
        <w:t>Sensitivity of the descriptive Neanderthal distance correlation to exclusion of designated recently admixed populations.</w:t>
      </w:r>
    </w:p>
    <w:p>
      <w:pPr>
        <w:spacing w:line="360" w:lineRule="auto" w:after="160"/>
      </w:pPr>
      <w:r>
        <w:rPr>
          <w:b/>
        </w:rPr>
        <w:t xml:space="preserve">Figure 4. </w:t>
      </w:r>
      <w:r>
        <w:t>Descriptive geographic distance correlations at 250-kb, 500-kb, and 1-Mb window sizes. Quadratic assignment procedure results are tabulated in Supplementary Data.</w:t>
      </w:r>
    </w:p>
    <w:p>
      <w:pPr>
        <w:spacing w:line="360" w:lineRule="auto" w:after="160"/>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pStyle w:val="Heading1"/>
      </w:pPr>
      <w:r>
        <w:t>Supporting Information Legends</w:t>
      </w:r>
    </w:p>
    <w:p>
      <w:pPr>
        <w:spacing w:line="360" w:lineRule="auto" w:after="160"/>
      </w:pPr>
      <w:r>
        <w:rPr>
          <w:b/>
        </w:rPr>
        <w:t xml:space="preserve">Figure S1. </w:t>
      </w:r>
      <w:r>
        <w:t>Complete 66-population Neanderthal and Denisovan profile-similarity matrices.</w:t>
      </w:r>
    </w:p>
    <w:p>
      <w:pPr>
        <w:spacing w:line="360" w:lineRule="auto" w:after="160"/>
      </w:pPr>
      <w:r>
        <w:rPr>
          <w:b/>
        </w:rPr>
        <w:t xml:space="preserve">Figure S2. </w:t>
      </w:r>
      <w:r>
        <w:t>Minard-style schematic of human dispersal and archaic introgression. Band widths, branch positions, and event placement are illustrative and do not estimate migration magnitude, ancestry proportion, or a route supported by the present analysis.</w:t>
      </w:r>
    </w:p>
    <w:p>
      <w:pPr>
        <w:spacing w:line="360" w:lineRule="auto" w:after="160"/>
      </w:pPr>
      <w:r>
        <w:rPr>
          <w:b/>
        </w:rPr>
        <w:t xml:space="preserve">Figure S3. </w:t>
      </w:r>
      <w:r>
        <w:t>O2 blood-group subtype-defining allele frequencies and ABO-window segment-carrier frequencies. The panels use different sources and are not an association analysis; proximity does not establish that the O2 allele is Neanderthal-derived.</w:t>
      </w:r>
    </w:p>
    <w:p>
      <w:pPr>
        <w:spacing w:line="360" w:lineRule="auto" w:after="160"/>
      </w:pPr>
      <w:r>
        <w:rPr>
          <w:b/>
        </w:rPr>
        <w:t xml:space="preserve">Figure S4. </w:t>
      </w:r>
      <w:r>
        <w:t>Ancient North Eurasian contextual hypothesis. Dashed arrows represent a testable narrative, not evidence that either observed segment followed the illustrated route.</w:t>
      </w:r>
    </w:p>
    <w:p>
      <w:pPr>
        <w:spacing w:line="360" w:lineRule="auto" w:after="160"/>
      </w:pPr>
      <w:r>
        <w:rPr>
          <w:b/>
        </w:rPr>
        <w:t xml:space="preserve">Figure S5. </w:t>
      </w:r>
      <w:r>
        <w:t>Descriptive ancient and modern ABO-window summaries generated by different pipelines; no formal temporal comparison is made.</w:t>
      </w:r>
    </w:p>
    <w:p>
      <w:pPr>
        <w:spacing w:line="360" w:lineRule="auto" w:after="160"/>
      </w:pPr>
      <w:r>
        <w:rPr>
          <w:b/>
        </w:rPr>
        <w:t xml:space="preserve">Figure S6. </w:t>
      </w:r>
      <w:r>
        <w:t>Literature-derived global context. Circle size represents approximate Neanderthal ancestry and color intensity represents approximate Denisovan ancestry. Values were not used in the pairwise statistical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