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4"/>
        </w:rPr>
        <w:t>[Date]</w:t>
      </w:r>
    </w:p>
    <w:p>
      <w:r>
        <w:rPr>
          <w:rFonts w:ascii="Times New Roman" w:hAnsi="Times New Roman"/>
          <w:b w:val="0"/>
          <w:sz w:val="24"/>
        </w:rPr>
      </w:r>
    </w:p>
    <w:p>
      <w:r>
        <w:rPr>
          <w:rFonts w:ascii="Times New Roman" w:hAnsi="Times New Roman"/>
          <w:b w:val="0"/>
          <w:sz w:val="24"/>
        </w:rPr>
        <w:t>To the Editor-in-Chief</w:t>
      </w:r>
    </w:p>
    <w:p>
      <w:r>
        <w:rPr>
          <w:rFonts w:ascii="Times New Roman" w:hAnsi="Times New Roman"/>
          <w:b/>
          <w:sz w:val="24"/>
        </w:rPr>
        <w:t>Blood Pressure Monitoring</w:t>
      </w:r>
    </w:p>
    <w:p>
      <w:r>
        <w:rPr>
          <w:rFonts w:ascii="Times New Roman" w:hAnsi="Times New Roman"/>
          <w:b w:val="0"/>
          <w:sz w:val="24"/>
        </w:rPr>
      </w:r>
    </w:p>
    <w:p>
      <w:r>
        <w:rPr>
          <w:rFonts w:ascii="Times New Roman" w:hAnsi="Times New Roman"/>
          <w:b w:val="0"/>
          <w:sz w:val="24"/>
        </w:rPr>
        <w:t>Dear Editor,</w:t>
      </w:r>
    </w:p>
    <w:p>
      <w:r>
        <w:rPr>
          <w:rFonts w:ascii="Times New Roman" w:hAnsi="Times New Roman"/>
          <w:b w:val="0"/>
          <w:sz w:val="24"/>
        </w:rPr>
        <w:t>We are pleased to submit our original article, “What zeroing cannot fix: detecting residual gain and dynamic-response errors after zero calibration in invasive arterial pressure monitoring,” for consideration for publication in Blood Pressure Monitoring.</w:t>
      </w:r>
    </w:p>
    <w:p>
      <w:r>
        <w:rPr>
          <w:rFonts w:ascii="Times New Roman" w:hAnsi="Times New Roman"/>
          <w:b w:val="0"/>
          <w:sz w:val="24"/>
        </w:rPr>
        <w:t>Zero calibration of a fluid-filled arterial pressure transducer is a daily bedside ritual, but it corrects only the direct-current offset and not the gain (sensitivity) of the system. Using a fully reproducible simulation study, we show which of the analyses commonly reported in device-validation work actually detect a residual gain error after zeroing. Our key message is a critique of common reporting practice, not of the Bland–Altman method itself: a minimal summary of mean bias and limits of agreement can miss a clinically relevant gain error when a compensating offset cancels its effect on the mean, whereas the Bland–Altman difference-versus-mean regression, Deming and Passing–Bablok regression, and the scale-shift component of Lin’s concordance correlation coefficient all detect it.</w:t>
      </w:r>
    </w:p>
    <w:p>
      <w:r>
        <w:rPr>
          <w:rFonts w:ascii="Times New Roman" w:hAnsi="Times New Roman"/>
          <w:b w:val="0"/>
          <w:sz w:val="24"/>
        </w:rPr>
        <w:t>We further integrate the dynamic-response (damping) error that is specific to fluid-filled arterial lines, showing how under- and over-damping distort pulse pressure in ways that survive zeroing and are diagnosed by the fast-flush test, and we discuss the range-dependence of the concordance correlation coefficient. This scope matches the readership of Blood Pressure Monitoring, which spans the measurement, methodology and clinical interpretation of arterial pressure.</w:t>
      </w:r>
    </w:p>
    <w:p>
      <w:r>
        <w:rPr>
          <w:rFonts w:ascii="Times New Roman" w:hAnsi="Times New Roman"/>
          <w:b w:val="0"/>
          <w:sz w:val="24"/>
        </w:rPr>
        <w:t>We submit the manuscript as an Original Study. It contains four figures and two tables (six items in total, within the journal limit), with two further figures provided as Supplemental Digital Content, a structured abstract of fewer than 250 words, and a main text within the 6000-word limit. As disclosed in the Methods, the simulation and analysis code, the figures, and drafts of the text were prepared with the assistance of an AI coding assistant (Devin; Cognition AI); the authors verified all code, results and statements and take full responsibility for the work.</w:t>
      </w:r>
    </w:p>
    <w:p>
      <w:r>
        <w:rPr>
          <w:rFonts w:ascii="Times New Roman" w:hAnsi="Times New Roman"/>
          <w:b w:val="0"/>
          <w:sz w:val="24"/>
        </w:rPr>
        <w:t>This is a simulation study; all data are clearly described as synthetic and no clinical or previously published measurements are presented as empirical results. To support transparency and reuse, the complete pipeline (data generation, analysis, figures, tables and the manuscript itself) is openly available, so that every number, table and figure can be regenerated from a clean clone.</w:t>
      </w:r>
    </w:p>
    <w:p>
      <w:r>
        <w:rPr>
          <w:rFonts w:ascii="Times New Roman" w:hAnsi="Times New Roman"/>
          <w:b w:val="0"/>
          <w:sz w:val="24"/>
        </w:rPr>
        <w:t>The manuscript is original, has not been published previously, and is not under consideration elsewhere. All authors have approved the submission and declare no conflicts of interest relevant to this work. We have no preferred or excluded reviewers to suggest, but are happy to provide names on request.</w:t>
      </w:r>
    </w:p>
    <w:p>
      <w:r>
        <w:rPr>
          <w:rFonts w:ascii="Times New Roman" w:hAnsi="Times New Roman"/>
          <w:b w:val="0"/>
          <w:sz w:val="24"/>
        </w:rPr>
        <w:t>Thank you for considering our submission. We look forward to your response.</w:t>
      </w:r>
    </w:p>
    <w:p>
      <w:r>
        <w:rPr>
          <w:rFonts w:ascii="Times New Roman" w:hAnsi="Times New Roman"/>
          <w:b w:val="0"/>
          <w:sz w:val="24"/>
        </w:rPr>
      </w:r>
    </w:p>
    <w:p>
      <w:r>
        <w:rPr>
          <w:rFonts w:ascii="Times New Roman" w:hAnsi="Times New Roman"/>
          <w:b w:val="0"/>
          <w:sz w:val="24"/>
        </w:rPr>
        <w:t>Sincerely,</w:t>
      </w:r>
    </w:p>
    <w:p>
      <w:r>
        <w:rPr>
          <w:rFonts w:ascii="Times New Roman" w:hAnsi="Times New Roman"/>
          <w:b w:val="0"/>
          <w:sz w:val="24"/>
        </w:rPr>
      </w:r>
    </w:p>
    <w:p>
      <w:r>
        <w:rPr>
          <w:rFonts w:ascii="Times New Roman" w:hAnsi="Times New Roman"/>
          <w:b w:val="0"/>
          <w:sz w:val="24"/>
        </w:rPr>
        <w:t>[Corresponding author name, degrees]</w:t>
      </w:r>
    </w:p>
    <w:p>
      <w:r>
        <w:rPr>
          <w:rFonts w:ascii="Times New Roman" w:hAnsi="Times New Roman"/>
          <w:b w:val="0"/>
          <w:sz w:val="24"/>
        </w:rPr>
        <w:t>[Affiliation]</w:t>
      </w:r>
    </w:p>
    <w:p>
      <w:r>
        <w:rPr>
          <w:rFonts w:ascii="Times New Roman" w:hAnsi="Times New Roman"/>
          <w:b w:val="0"/>
          <w:sz w:val="24"/>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