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Highlights</w:t>
      </w:r>
    </w:p>
    <w:p>
      <w:pPr>
        <w:pStyle w:val="ListBullet"/>
      </w:pPr>
      <w:r>
        <w:t>Perioperative analgesic prescribing varies 1.97-fold across Japan’s 47 prefectures.</w:t>
      </w:r>
    </w:p>
    <w:p>
      <w:pPr>
        <w:pStyle w:val="ListBullet"/>
      </w:pPr>
      <w:r>
        <w:t>Nearly twofold variation persists after age-sex standardisation (SCR range, 64–148).</w:t>
      </w:r>
    </w:p>
    <w:p>
      <w:pPr>
        <w:pStyle w:val="ListBullet"/>
      </w:pPr>
      <w:r>
        <w:t>Prescribing variation is dissociated from symptom burden (CSLC r=0.03), indicating unwarranted variation.</w:t>
      </w:r>
    </w:p>
    <w:p>
      <w:pPr>
        <w:pStyle w:val="ListBullet"/>
      </w:pPr>
      <w:r>
        <w:t>Diabetes drug prescribing (r=0.87) is the dominant confounder of neuropathic pain patterns.</w:t>
      </w:r>
    </w:p>
    <w:p>
      <w:pPr>
        <w:pStyle w:val="ListBullet"/>
      </w:pPr>
      <w:r>
        <w:t>NDB Open Data triangulated with CSLC enable demand–supply analysis at no cost.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