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7525</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a proportional change of 0.75 in I0 (critical factor 0.25×) would drive the active pool to its threshold. Dropout is the most powerful positive policy lever: reducing it by 10% yields the largest margin gain per unit effort in every group. Historical and saturating-inflow counterfactuals show that the model is most sensitive to exogenous entry and attrition. These results provide a quantitative framework for early, safety-factor-bound interventions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for the active pool is Other Civilizations via I0 (critical factor 0.25×).</w:t>
      </w:r>
    </w:p>
    <w:p>
      <w:pPr>
        <w:pStyle w:val="ListBullet"/>
      </w:pPr>
      <w:r>
        <w:t>Reducing researcher dropout is the largest positive lever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[To be completed / 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w:t>
      </w:r>
      <w:r>
        <w:rPr>
          <w:vertAlign w:val="superscript"/>
        </w:rPr>
        <w:t>[1]</w:t>
      </w:r>
      <w:r>
        <w:t>.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w:t>
      </w:r>
      <w:r>
        <w:rPr>
          <w:vertAlign w:val="superscript"/>
        </w:rPr>
        <w:t>[1]</w:t>
      </w:r>
      <w:r>
        <w:t>.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[6]</w:t>
      </w:r>
      <w:r>
        <w:t>, and their development depends on a relatively small, highly mobile workforce of doctoral and post-doctoral researchers, principal investigators, and research engineers</w:t>
      </w:r>
      <w:r>
        <w:rPr>
          <w:vertAlign w:val="superscript"/>
        </w:rPr>
        <w:t>[6]</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[5]</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[15]</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[2]</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[11]</w:t>
      </w:r>
      <w:r>
        <w:t>. A diverse ecosystem generates competing approaches, which increases the probability that unexpected breakthroughs and error correction survive</w:t>
      </w:r>
      <w:r>
        <w:rPr>
          <w:vertAlign w:val="superscript"/>
        </w:rPr>
        <w:t>[11]</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four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[3]</w:t>
      </w:r>
      <w:r>
        <w:t>. The model is intentionally simple: it does not explain why a rate is high or low, but it identifies which rate is closest to a threshold and therefore where early intervention is most urgent.</w:t>
      </w:r>
    </w:p>
    <w:p>
      <w:pPr>
        <w:pStyle w:val="Heading1"/>
      </w:pPr>
      <w:r>
        <w:t>2. Literature and conceptual framework</w:t>
      </w:r>
    </w:p>
    <w:p>
      <w:r>
        <w:t>Researcher mobility has long been studied under the headings of brain drain, brain circulation and brain gain</w:t>
      </w:r>
      <w:r>
        <w:rPr>
          <w:vertAlign w:val="superscript"/>
        </w:rPr>
        <w:t>[4]</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[4]</w:t>
      </w:r>
      <w:r>
        <w:t>. Appelt et al., using a gravity framework for 1996-2011, find that scientific collaboration, economic convergence and visa restrictions are the strongest correlates of bilateral mobility</w:t>
      </w:r>
      <w:r>
        <w:rPr>
          <w:vertAlign w:val="superscript"/>
        </w:rPr>
        <w:t>[5]</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[6]</w:t>
      </w:r>
      <w:r>
        <w:t>. AlShebli et al. show that U.S.-China collaboration in AI is more impactful than either country working alone, and that most mobile AI scientists retain collaboration links with their origin country</w:t>
      </w:r>
      <w:r>
        <w:rPr>
          <w:vertAlign w:val="superscript"/>
        </w:rPr>
        <w:t>[7]</w:t>
      </w:r>
      <w:r>
        <w:t>. Yuan et al. find that the brain-drain problem for AI scientists is increasingly serious in developing countries, and that the ties among AI elites are highly clustered</w:t>
      </w:r>
      <w:r>
        <w:rPr>
          <w:vertAlign w:val="superscript"/>
        </w:rPr>
        <w:t>[8]</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[9]</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Principal-investigator promotion and return from abroad are the main positive transition levers after inflow.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[11]</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1"/>
      </w:pPr>
      <w:r>
        <w:t>2. Literature and conceptual framework</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[10]</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[16]</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[9]</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[15]</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[2]</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[3]</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[15]</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48.00</w:t>
            </w:r>
          </w:p>
        </w:tc>
        <w:tc>
          <w:tcPr>
            <w:tcW w:type="dxa" w:w="1080"/>
          </w:tcPr>
          <w:p>
            <w:r>
              <w:t>3840.00</w:t>
            </w:r>
          </w:p>
        </w:tc>
        <w:tc>
          <w:tcPr>
            <w:tcW w:type="dxa" w:w="1080"/>
          </w:tcPr>
          <w:p>
            <w:r>
              <w:t>45.00</w:t>
            </w:r>
          </w:p>
        </w:tc>
        <w:tc>
          <w:tcPr>
            <w:tcW w:type="dxa" w:w="1080"/>
          </w:tcPr>
          <w:p>
            <w:r>
              <w:t>40.00</w:t>
            </w:r>
          </w:p>
        </w:tc>
        <w:tc>
          <w:tcPr>
            <w:tcW w:type="dxa" w:w="1080"/>
          </w:tcPr>
          <w:p>
            <w:r>
              <w:t>23.00</w:t>
            </w:r>
          </w:p>
        </w:tc>
        <w:tc>
          <w:tcPr>
            <w:tcW w:type="dxa" w:w="1080"/>
          </w:tcPr>
          <w:p>
            <w:r>
              <w:t>2006.2</w:t>
            </w:r>
          </w:p>
        </w:tc>
        <w:tc>
          <w:tcPr>
            <w:tcW w:type="dxa" w:w="1080"/>
          </w:tcPr>
          <w:p>
            <w:r>
              <w:t>22.00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50.00</w:t>
            </w:r>
          </w:p>
        </w:tc>
        <w:tc>
          <w:tcPr>
            <w:tcW w:type="dxa" w:w="1080"/>
          </w:tcPr>
          <w:p>
            <w:r>
              <w:t>4220.00</w:t>
            </w:r>
          </w:p>
        </w:tc>
        <w:tc>
          <w:tcPr>
            <w:tcW w:type="dxa" w:w="1080"/>
          </w:tcPr>
          <w:p>
            <w:r>
              <w:t>45.00</w:t>
            </w:r>
          </w:p>
        </w:tc>
        <w:tc>
          <w:tcPr>
            <w:tcW w:type="dxa" w:w="1080"/>
          </w:tcPr>
          <w:p>
            <w:r>
              <w:t>47.00</w:t>
            </w:r>
          </w:p>
        </w:tc>
        <w:tc>
          <w:tcPr>
            <w:tcW w:type="dxa" w:w="1080"/>
          </w:tcPr>
          <w:p>
            <w:r>
              <w:t>28.00</w:t>
            </w:r>
          </w:p>
        </w:tc>
        <w:tc>
          <w:tcPr>
            <w:tcW w:type="dxa" w:w="1080"/>
          </w:tcPr>
          <w:p>
            <w:r>
              <w:t>2006.3</w:t>
            </w:r>
          </w:p>
        </w:tc>
        <w:tc>
          <w:tcPr>
            <w:tcW w:type="dxa" w:w="1080"/>
          </w:tcPr>
          <w:p>
            <w:r>
              <w:t>18.00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and Hindu groups show the largest absolute margins, reflecting large cohorts and relatively low coauthor-intensity thresholds. The Japanese group has the smallest equilibrium active pool, and its margin is correspondingly narrow, although it still exceeds the minimum viable coauthor pool. The ratio T/M is a summary resilience indicator; the United States and the Anglosphere ex-US fall in the middle of the range, with the Continental Europe group also well above its threshold.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1156.27</w:t>
            </w:r>
          </w:p>
        </w:tc>
        <w:tc>
          <w:tcPr>
            <w:tcW w:type="dxa" w:w="1080"/>
          </w:tcPr>
          <w:p>
            <w:r>
              <w:t>129.07</w:t>
            </w:r>
          </w:p>
        </w:tc>
        <w:tc>
          <w:tcPr>
            <w:tcW w:type="dxa" w:w="1080"/>
          </w:tcPr>
          <w:p>
            <w:r>
              <w:t>1027.20</w:t>
            </w:r>
          </w:p>
        </w:tc>
        <w:tc>
          <w:tcPr>
            <w:tcW w:type="dxa" w:w="1080"/>
          </w:tcPr>
          <w:p>
            <w:r>
              <w:t>2.76</w:t>
            </w:r>
          </w:p>
        </w:tc>
        <w:tc>
          <w:tcPr>
            <w:tcW w:type="dxa" w:w="1080"/>
          </w:tcPr>
          <w:p>
            <w:r>
              <w:t>0.00261</w:t>
            </w:r>
          </w:p>
        </w:tc>
        <w:tc>
          <w:tcPr>
            <w:tcW w:type="dxa" w:w="1080"/>
          </w:tcPr>
          <w:p>
            <w:r>
              <w:t>0.12276</w:t>
            </w:r>
          </w:p>
        </w:tc>
        <w:tc>
          <w:tcPr>
            <w:tcW w:type="dxa" w:w="1080"/>
          </w:tcPr>
          <w:p>
            <w:r>
              <w:t>0.00523</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801.70</w:t>
            </w:r>
          </w:p>
        </w:tc>
        <w:tc>
          <w:tcPr>
            <w:tcW w:type="dxa" w:w="1080"/>
          </w:tcPr>
          <w:p>
            <w:r>
              <w:t>132.49</w:t>
            </w:r>
          </w:p>
        </w:tc>
        <w:tc>
          <w:tcPr>
            <w:tcW w:type="dxa" w:w="1080"/>
          </w:tcPr>
          <w:p>
            <w:r>
              <w:t>669.21</w:t>
            </w:r>
          </w:p>
        </w:tc>
        <w:tc>
          <w:tcPr>
            <w:tcW w:type="dxa" w:w="1080"/>
          </w:tcPr>
          <w:p>
            <w:r>
              <w:t>2.83</w:t>
            </w:r>
          </w:p>
        </w:tc>
        <w:tc>
          <w:tcPr>
            <w:tcW w:type="dxa" w:w="1080"/>
          </w:tcPr>
          <w:p>
            <w:r>
              <w:t>0.00396</w:t>
            </w:r>
          </w:p>
        </w:tc>
        <w:tc>
          <w:tcPr>
            <w:tcW w:type="dxa" w:w="1080"/>
          </w:tcPr>
          <w:p>
            <w:r>
              <w:t>0.10504</w:t>
            </w:r>
          </w:p>
        </w:tc>
        <w:tc>
          <w:tcPr>
            <w:tcW w:type="dxa" w:w="1080"/>
          </w:tcPr>
          <w:p>
            <w:r>
              <w:t>0.00791</w:t>
            </w:r>
          </w:p>
        </w:tc>
      </w:tr>
    </w:tbl>
    <w:p>
      <w:pPr>
        <w:jc w:val="center"/>
      </w:pPr>
      <w:r>
        <w:rPr>
          <w:i/>
        </w:rPr>
        <w:t>Table 2. Equilibrium domestic active pool, minimum viable threshold, and endogenous inflow parameters.</w:t>
      </w:r>
    </w:p>
    <w:p>
      <w:r>
        <w:t>Figure 1 visualises the gap between equilibrium and threshold. The Sinic, Hindu and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with an elasticity of approximately -2. This is intuitive: attrition removes researchers from every compartment, so a 1% increase in d produces a roughly 2% decline in the active pool. The largest positive transition levers are principal-investigator promotion (p_D) and return from abroad (β),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has the highest p_D elasticity, indicating that improving the promotion of hit researchers to PIs is an especially efficient way to expand the domestic active pool in a small community. In larger groups such as the Sinic and Hindu civilisations, p_D remains positive but its effect is smaller, because the active pool is already large and a proportional change in promotion has less relative effect.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0.05</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-2.13</w:t>
            </w:r>
          </w:p>
        </w:tc>
        <w:tc>
          <w:tcPr>
            <w:tcW w:type="dxa" w:w="1234"/>
          </w:tcPr>
          <w:p>
            <w:r>
              <w:t>p_D</w:t>
            </w:r>
          </w:p>
        </w:tc>
        <w:tc>
          <w:tcPr>
            <w:tcW w:type="dxa" w:w="1234"/>
          </w:tcPr>
          <w:p>
            <w:r>
              <w:t>0.09</w:t>
            </w:r>
          </w:p>
        </w:tc>
        <w:tc>
          <w:tcPr>
            <w:tcW w:type="dxa" w:w="1234"/>
          </w:tcPr>
          <w:p>
            <w:r>
              <w:t>h_D</w:t>
            </w:r>
          </w:p>
        </w:tc>
        <w:tc>
          <w:tcPr>
            <w:tcW w:type="dxa" w:w="1234"/>
          </w:tcPr>
          <w:p>
            <w:r>
              <w:t>0.07</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a proportional change of 0.75 in I0 (critical factor 0.25×) would drive the active pool to its minimum viable threshold. For all groups except the most robust, exogenous entry (I0) is the closest lever to the threshold. This is consistent with a recruitment-driven view of scientific communities: if the pipeline of new researchers shuts or slows, the active pool eventually falls below the minimum viable coauthor pool regardless of how efficient return or promotion becomes. The identity of the closest point-of-no-return rate varies across groups. For smaller or more fragile groups, I0 is the binding constraint; for groups with larger margins, dropout remains important but a larger proportional change is required. This heterogeneity matters for policy design: a global retention programme that reduces dropout would benefit all groups, but the most vulnerable groups may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2.8304</w:t>
            </w:r>
          </w:p>
        </w:tc>
        <w:tc>
          <w:tcPr>
            <w:tcW w:type="dxa" w:w="1440"/>
          </w:tcPr>
          <w:p>
            <w:r>
              <w:t>0.165</w:t>
            </w:r>
          </w:p>
        </w:tc>
        <w:tc>
          <w:tcPr>
            <w:tcW w:type="dxa" w:w="1440"/>
          </w:tcPr>
          <w:p>
            <w:r>
              <w:t>0.835</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Continental Europe</w:t>
            </w:r>
          </w:p>
        </w:tc>
        <w:tc>
          <w:tcPr>
            <w:tcW w:type="dxa" w:w="1440"/>
          </w:tcPr>
          <w:p>
            <w:r>
              <w:t>domestic_active</w:t>
            </w:r>
          </w:p>
        </w:tc>
        <w:tc>
          <w:tcPr>
            <w:tcW w:type="dxa" w:w="1440"/>
          </w:tcPr>
          <w:p>
            <w:r>
              <w:t>I0</w:t>
            </w:r>
          </w:p>
        </w:tc>
        <w:tc>
          <w:tcPr>
            <w:tcW w:type="dxa" w:w="1440"/>
          </w:tcPr>
          <w:p>
            <w:r>
              <w:t>2.7634</w:t>
            </w:r>
          </w:p>
        </w:tc>
        <w:tc>
          <w:tcPr>
            <w:tcW w:type="dxa" w:w="1440"/>
          </w:tcPr>
          <w:p>
            <w:r>
              <w:t>0.112</w:t>
            </w:r>
          </w:p>
        </w:tc>
        <w:tc>
          <w:tcPr>
            <w:tcW w:type="dxa" w:w="1440"/>
          </w:tcPr>
          <w:p>
            <w:r>
              <w:t>0.888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Even with a safety factor of 0.5, the saturating variant predicts equilibrium pools that are 40-55%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1156.27</w:t>
            </w:r>
          </w:p>
        </w:tc>
        <w:tc>
          <w:tcPr>
            <w:tcW w:type="dxa" w:w="2160"/>
          </w:tcPr>
          <w:p>
            <w:r>
              <w:t>632.67</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801.70</w:t>
            </w:r>
          </w:p>
        </w:tc>
        <w:tc>
          <w:tcPr>
            <w:tcW w:type="dxa" w:w="2160"/>
          </w:tcPr>
          <w:p>
            <w:r>
              <w:t>462.03</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The largest negative margin changes are observed for the Anglosphere ex-US, Sinic and Other Western groups, while the Islamic, Japanese and Other Civilizations groups would see larger safety margins under late-window rates. These divergent patterns show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is useful because it shows that the current regime is not the only possible one: had the early-window rates persisted, the Anglosphere ex-US and Sinic groups would now have larger active pools, while the Islamic and Other Civilizations groups would have smaller ones. This asymmetry is what makes counterfactual policy analysis necessary.</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Group</w:t>
            </w:r>
          </w:p>
        </w:tc>
        <w:tc>
          <w:tcPr>
            <w:tcW w:type="dxa" w:w="864"/>
          </w:tcPr>
          <w:p>
            <w:r>
              <w:rPr>
                <w:b/>
              </w:rPr>
              <w:t>T early</w:t>
            </w:r>
          </w:p>
        </w:tc>
        <w:tc>
          <w:tcPr>
            <w:tcW w:type="dxa" w:w="864"/>
          </w:tcPr>
          <w:p>
            <w:r>
              <w:rPr>
                <w:b/>
              </w:rPr>
              <w:t>T late</w:t>
            </w:r>
          </w:p>
        </w:tc>
        <w:tc>
          <w:tcPr>
            <w:tcW w:type="dxa" w:w="864"/>
          </w:tcPr>
          <w:p>
            <w:r>
              <w:rPr>
                <w:b/>
              </w:rPr>
              <w:t>delta_T</w:t>
            </w:r>
          </w:p>
        </w:tc>
        <w:tc>
          <w:tcPr>
            <w:tcW w:type="dxa" w:w="864"/>
          </w:tcPr>
          <w:p>
            <w:r>
              <w:rPr>
                <w:b/>
              </w:rPr>
              <w:t>ΔT (%)</w:t>
            </w:r>
          </w:p>
        </w:tc>
        <w:tc>
          <w:tcPr>
            <w:tcW w:type="dxa" w:w="864"/>
          </w:tcPr>
          <w:p>
            <w:r>
              <w:rPr>
                <w:b/>
              </w:rPr>
              <w:t>M_early</w:t>
            </w:r>
          </w:p>
        </w:tc>
        <w:tc>
          <w:tcPr>
            <w:tcW w:type="dxa" w:w="864"/>
          </w:tcPr>
          <w:p>
            <w:r>
              <w:rPr>
                <w:b/>
              </w:rPr>
              <w:t>M_late</w:t>
            </w:r>
          </w:p>
        </w:tc>
        <w:tc>
          <w:tcPr>
            <w:tcW w:type="dxa" w:w="864"/>
          </w:tcPr>
          <w:p>
            <w:r>
              <w:rPr>
                <w:b/>
              </w:rPr>
              <w:t>Margin early</w:t>
            </w:r>
          </w:p>
        </w:tc>
        <w:tc>
          <w:tcPr>
            <w:tcW w:type="dxa" w:w="864"/>
          </w:tcPr>
          <w:p>
            <w:r>
              <w:rPr>
                <w:b/>
              </w:rPr>
              <w:t>Margin late</w:t>
            </w:r>
          </w:p>
        </w:tc>
        <w:tc>
          <w:tcPr>
            <w:tcW w:type="dxa" w:w="864"/>
          </w:tcPr>
          <w:p>
            <w:r>
              <w:rPr>
                <w:b/>
              </w:rPr>
              <w:t>Δ margin</w:t>
            </w:r>
          </w:p>
        </w:tc>
      </w:tr>
      <w:tr>
        <w:tc>
          <w:tcPr>
            <w:tcW w:type="dxa" w:w="864"/>
          </w:tcPr>
          <w:p>
            <w:r>
              <w:t>Anglosphere ex-US</w:t>
            </w:r>
          </w:p>
        </w:tc>
        <w:tc>
          <w:tcPr>
            <w:tcW w:type="dxa" w:w="864"/>
          </w:tcPr>
          <w:p>
            <w:r>
              <w:t>699.2</w:t>
            </w:r>
          </w:p>
        </w:tc>
        <w:tc>
          <w:tcPr>
            <w:tcW w:type="dxa" w:w="864"/>
          </w:tcPr>
          <w:p>
            <w:r>
              <w:t>250.1</w:t>
            </w:r>
          </w:p>
        </w:tc>
        <w:tc>
          <w:tcPr>
            <w:tcW w:type="dxa" w:w="864"/>
          </w:tcPr>
          <w:p>
            <w:r>
              <w:t>-449.16</w:t>
            </w:r>
          </w:p>
        </w:tc>
        <w:tc>
          <w:tcPr>
            <w:tcW w:type="dxa" w:w="864"/>
          </w:tcPr>
          <w:p>
            <w:r>
              <w:t>-64.2</w:t>
            </w:r>
          </w:p>
        </w:tc>
        <w:tc>
          <w:tcPr>
            <w:tcW w:type="dxa" w:w="864"/>
          </w:tcPr>
          <w:p>
            <w:r>
              <w:t>119.78</w:t>
            </w:r>
          </w:p>
        </w:tc>
        <w:tc>
          <w:tcPr>
            <w:tcW w:type="dxa" w:w="864"/>
          </w:tcPr>
          <w:p>
            <w:r>
              <w:t>119.78</w:t>
            </w:r>
          </w:p>
        </w:tc>
        <w:tc>
          <w:tcPr>
            <w:tcW w:type="dxa" w:w="864"/>
          </w:tcPr>
          <w:p>
            <w:r>
              <w:t>579.5</w:t>
            </w:r>
          </w:p>
        </w:tc>
        <w:tc>
          <w:tcPr>
            <w:tcW w:type="dxa" w:w="864"/>
          </w:tcPr>
          <w:p>
            <w:r>
              <w:t>130.3</w:t>
            </w:r>
          </w:p>
        </w:tc>
        <w:tc>
          <w:tcPr>
            <w:tcW w:type="dxa" w:w="864"/>
          </w:tcPr>
          <w:p>
            <w:r>
              <w:t>-449.2</w:t>
            </w:r>
          </w:p>
        </w:tc>
      </w:tr>
      <w:tr>
        <w:tc>
          <w:tcPr>
            <w:tcW w:type="dxa" w:w="864"/>
          </w:tcPr>
          <w:p>
            <w:r>
              <w:t>Continental Europe</w:t>
            </w:r>
          </w:p>
        </w:tc>
        <w:tc>
          <w:tcPr>
            <w:tcW w:type="dxa" w:w="864"/>
          </w:tcPr>
          <w:p>
            <w:r>
              <w:t>1053.7</w:t>
            </w:r>
          </w:p>
        </w:tc>
        <w:tc>
          <w:tcPr>
            <w:tcW w:type="dxa" w:w="864"/>
          </w:tcPr>
          <w:p>
            <w:r>
              <w:t>791.3</w:t>
            </w:r>
          </w:p>
        </w:tc>
        <w:tc>
          <w:tcPr>
            <w:tcW w:type="dxa" w:w="864"/>
          </w:tcPr>
          <w:p>
            <w:r>
              <w:t>-262.37</w:t>
            </w:r>
          </w:p>
        </w:tc>
        <w:tc>
          <w:tcPr>
            <w:tcW w:type="dxa" w:w="864"/>
          </w:tcPr>
          <w:p>
            <w:r>
              <w:t>-24.9</w:t>
            </w:r>
          </w:p>
        </w:tc>
        <w:tc>
          <w:tcPr>
            <w:tcW w:type="dxa" w:w="864"/>
          </w:tcPr>
          <w:p>
            <w:r>
              <w:t>129.07</w:t>
            </w:r>
          </w:p>
        </w:tc>
        <w:tc>
          <w:tcPr>
            <w:tcW w:type="dxa" w:w="864"/>
          </w:tcPr>
          <w:p>
            <w:r>
              <w:t>129.07</w:t>
            </w:r>
          </w:p>
        </w:tc>
        <w:tc>
          <w:tcPr>
            <w:tcW w:type="dxa" w:w="864"/>
          </w:tcPr>
          <w:p>
            <w:r>
              <w:t>924.6</w:t>
            </w:r>
          </w:p>
        </w:tc>
        <w:tc>
          <w:tcPr>
            <w:tcW w:type="dxa" w:w="864"/>
          </w:tcPr>
          <w:p>
            <w:r>
              <w:t>662.2</w:t>
            </w:r>
          </w:p>
        </w:tc>
        <w:tc>
          <w:tcPr>
            <w:tcW w:type="dxa" w:w="864"/>
          </w:tcPr>
          <w:p>
            <w:r>
              <w:t>-262.4</w:t>
            </w:r>
          </w:p>
        </w:tc>
      </w:tr>
      <w:tr>
        <w:tc>
          <w:tcPr>
            <w:tcW w:type="dxa" w:w="864"/>
          </w:tcPr>
          <w:p>
            <w:r>
              <w:t>Hindu</w:t>
            </w:r>
          </w:p>
        </w:tc>
        <w:tc>
          <w:tcPr>
            <w:tcW w:type="dxa" w:w="864"/>
          </w:tcPr>
          <w:p>
            <w:r>
              <w:t>902.2</w:t>
            </w:r>
          </w:p>
        </w:tc>
        <w:tc>
          <w:tcPr>
            <w:tcW w:type="dxa" w:w="864"/>
          </w:tcPr>
          <w:p>
            <w:r>
              <w:t>608.4</w:t>
            </w:r>
          </w:p>
        </w:tc>
        <w:tc>
          <w:tcPr>
            <w:tcW w:type="dxa" w:w="864"/>
          </w:tcPr>
          <w:p>
            <w:r>
              <w:t>-293.74</w:t>
            </w:r>
          </w:p>
        </w:tc>
        <w:tc>
          <w:tcPr>
            <w:tcW w:type="dxa" w:w="864"/>
          </w:tcPr>
          <w:p>
            <w:r>
              <w:t>-32.6</w:t>
            </w:r>
          </w:p>
        </w:tc>
        <w:tc>
          <w:tcPr>
            <w:tcW w:type="dxa" w:w="864"/>
          </w:tcPr>
          <w:p>
            <w:r>
              <w:t>66.04</w:t>
            </w:r>
          </w:p>
        </w:tc>
        <w:tc>
          <w:tcPr>
            <w:tcW w:type="dxa" w:w="864"/>
          </w:tcPr>
          <w:p>
            <w:r>
              <w:t>66.04</w:t>
            </w:r>
          </w:p>
        </w:tc>
        <w:tc>
          <w:tcPr>
            <w:tcW w:type="dxa" w:w="864"/>
          </w:tcPr>
          <w:p>
            <w:r>
              <w:t>836.1</w:t>
            </w:r>
          </w:p>
        </w:tc>
        <w:tc>
          <w:tcPr>
            <w:tcW w:type="dxa" w:w="864"/>
          </w:tcPr>
          <w:p>
            <w:r>
              <w:t>542.4</w:t>
            </w:r>
          </w:p>
        </w:tc>
        <w:tc>
          <w:tcPr>
            <w:tcW w:type="dxa" w:w="864"/>
          </w:tcPr>
          <w:p>
            <w:r>
              <w:t>-293.7</w:t>
            </w:r>
          </w:p>
        </w:tc>
      </w:tr>
      <w:tr>
        <w:tc>
          <w:tcPr>
            <w:tcW w:type="dxa" w:w="864"/>
          </w:tcPr>
          <w:p>
            <w:r>
              <w:t>Islamic</w:t>
            </w:r>
          </w:p>
        </w:tc>
        <w:tc>
          <w:tcPr>
            <w:tcW w:type="dxa" w:w="864"/>
          </w:tcPr>
          <w:p>
            <w:r>
              <w:t>185.5</w:t>
            </w:r>
          </w:p>
        </w:tc>
        <w:tc>
          <w:tcPr>
            <w:tcW w:type="dxa" w:w="864"/>
          </w:tcPr>
          <w:p>
            <w:r>
              <w:t>1106.5</w:t>
            </w:r>
          </w:p>
        </w:tc>
        <w:tc>
          <w:tcPr>
            <w:tcW w:type="dxa" w:w="864"/>
          </w:tcPr>
          <w:p>
            <w:r>
              <w:t>920.94</w:t>
            </w:r>
          </w:p>
        </w:tc>
        <w:tc>
          <w:tcPr>
            <w:tcW w:type="dxa" w:w="864"/>
          </w:tcPr>
          <w:p>
            <w:r>
              <w:t>496.4</w:t>
            </w:r>
          </w:p>
        </w:tc>
        <w:tc>
          <w:tcPr>
            <w:tcW w:type="dxa" w:w="864"/>
          </w:tcPr>
          <w:p>
            <w:r>
              <w:t>126.52</w:t>
            </w:r>
          </w:p>
        </w:tc>
        <w:tc>
          <w:tcPr>
            <w:tcW w:type="dxa" w:w="864"/>
          </w:tcPr>
          <w:p>
            <w:r>
              <w:t>126.52</w:t>
            </w:r>
          </w:p>
        </w:tc>
        <w:tc>
          <w:tcPr>
            <w:tcW w:type="dxa" w:w="864"/>
          </w:tcPr>
          <w:p>
            <w:r>
              <w:t>59.0</w:t>
            </w:r>
          </w:p>
        </w:tc>
        <w:tc>
          <w:tcPr>
            <w:tcW w:type="dxa" w:w="864"/>
          </w:tcPr>
          <w:p>
            <w:r>
              <w:t>979.9</w:t>
            </w:r>
          </w:p>
        </w:tc>
        <w:tc>
          <w:tcPr>
            <w:tcW w:type="dxa" w:w="864"/>
          </w:tcPr>
          <w:p>
            <w:r>
              <w:t>920.9</w:t>
            </w:r>
          </w:p>
        </w:tc>
      </w:tr>
      <w:tr>
        <w:tc>
          <w:tcPr>
            <w:tcW w:type="dxa" w:w="864"/>
          </w:tcPr>
          <w:p>
            <w:r>
              <w:t>Japanese</w:t>
            </w:r>
          </w:p>
        </w:tc>
        <w:tc>
          <w:tcPr>
            <w:tcW w:type="dxa" w:w="864"/>
          </w:tcPr>
          <w:p>
            <w:r>
              <w:t>184.3</w:t>
            </w:r>
          </w:p>
        </w:tc>
        <w:tc>
          <w:tcPr>
            <w:tcW w:type="dxa" w:w="864"/>
          </w:tcPr>
          <w:p>
            <w:r>
              <w:t>235.3</w:t>
            </w:r>
          </w:p>
        </w:tc>
        <w:tc>
          <w:tcPr>
            <w:tcW w:type="dxa" w:w="864"/>
          </w:tcPr>
          <w:p>
            <w:r>
              <w:t>51.04</w:t>
            </w:r>
          </w:p>
        </w:tc>
        <w:tc>
          <w:tcPr>
            <w:tcW w:type="dxa" w:w="864"/>
          </w:tcPr>
          <w:p>
            <w:r>
              <w:t>27.7</w:t>
            </w:r>
          </w:p>
        </w:tc>
        <w:tc>
          <w:tcPr>
            <w:tcW w:type="dxa" w:w="864"/>
          </w:tcPr>
          <w:p>
            <w:r>
              <w:t>50.48</w:t>
            </w:r>
          </w:p>
        </w:tc>
        <w:tc>
          <w:tcPr>
            <w:tcW w:type="dxa" w:w="864"/>
          </w:tcPr>
          <w:p>
            <w:r>
              <w:t>50.48</w:t>
            </w:r>
          </w:p>
        </w:tc>
        <w:tc>
          <w:tcPr>
            <w:tcW w:type="dxa" w:w="864"/>
          </w:tcPr>
          <w:p>
            <w:r>
              <w:t>133.8</w:t>
            </w:r>
          </w:p>
        </w:tc>
        <w:tc>
          <w:tcPr>
            <w:tcW w:type="dxa" w:w="864"/>
          </w:tcPr>
          <w:p>
            <w:r>
              <w:t>184.8</w:t>
            </w:r>
          </w:p>
        </w:tc>
        <w:tc>
          <w:tcPr>
            <w:tcW w:type="dxa" w:w="864"/>
          </w:tcPr>
          <w:p>
            <w:r>
              <w:t>51.0</w:t>
            </w:r>
          </w:p>
        </w:tc>
      </w:tr>
      <w:tr>
        <w:tc>
          <w:tcPr>
            <w:tcW w:type="dxa" w:w="864"/>
          </w:tcPr>
          <w:p>
            <w:r>
              <w:t>Other Civilizations</w:t>
            </w:r>
          </w:p>
        </w:tc>
        <w:tc>
          <w:tcPr>
            <w:tcW w:type="dxa" w:w="864"/>
          </w:tcPr>
          <w:p>
            <w:r>
              <w:t>164.4</w:t>
            </w:r>
          </w:p>
        </w:tc>
        <w:tc>
          <w:tcPr>
            <w:tcW w:type="dxa" w:w="864"/>
          </w:tcPr>
          <w:p>
            <w:r>
              <w:t>673.8</w:t>
            </w:r>
          </w:p>
        </w:tc>
        <w:tc>
          <w:tcPr>
            <w:tcW w:type="dxa" w:w="864"/>
          </w:tcPr>
          <w:p>
            <w:r>
              <w:t>509.35</w:t>
            </w:r>
          </w:p>
        </w:tc>
        <w:tc>
          <w:tcPr>
            <w:tcW w:type="dxa" w:w="864"/>
          </w:tcPr>
          <w:p>
            <w:r>
              <w:t>309.8</w:t>
            </w:r>
          </w:p>
        </w:tc>
        <w:tc>
          <w:tcPr>
            <w:tcW w:type="dxa" w:w="864"/>
          </w:tcPr>
          <w:p>
            <w:r>
              <w:t>104.60</w:t>
            </w:r>
          </w:p>
        </w:tc>
        <w:tc>
          <w:tcPr>
            <w:tcW w:type="dxa" w:w="864"/>
          </w:tcPr>
          <w:p>
            <w:r>
              <w:t>104.60</w:t>
            </w:r>
          </w:p>
        </w:tc>
        <w:tc>
          <w:tcPr>
            <w:tcW w:type="dxa" w:w="864"/>
          </w:tcPr>
          <w:p>
            <w:r>
              <w:t>59.8</w:t>
            </w:r>
          </w:p>
        </w:tc>
        <w:tc>
          <w:tcPr>
            <w:tcW w:type="dxa" w:w="864"/>
          </w:tcPr>
          <w:p>
            <w:r>
              <w:t>569.2</w:t>
            </w:r>
          </w:p>
        </w:tc>
        <w:tc>
          <w:tcPr>
            <w:tcW w:type="dxa" w:w="864"/>
          </w:tcPr>
          <w:p>
            <w:r>
              <w:t>509.3</w:t>
            </w:r>
          </w:p>
        </w:tc>
      </w:tr>
      <w:tr>
        <w:tc>
          <w:tcPr>
            <w:tcW w:type="dxa" w:w="864"/>
          </w:tcPr>
          <w:p>
            <w:r>
              <w:t>Other Western</w:t>
            </w:r>
          </w:p>
        </w:tc>
        <w:tc>
          <w:tcPr>
            <w:tcW w:type="dxa" w:w="864"/>
          </w:tcPr>
          <w:p>
            <w:r>
              <w:t>304.0</w:t>
            </w:r>
          </w:p>
        </w:tc>
        <w:tc>
          <w:tcPr>
            <w:tcW w:type="dxa" w:w="864"/>
          </w:tcPr>
          <w:p>
            <w:r>
              <w:t>239.0</w:t>
            </w:r>
          </w:p>
        </w:tc>
        <w:tc>
          <w:tcPr>
            <w:tcW w:type="dxa" w:w="864"/>
          </w:tcPr>
          <w:p>
            <w:r>
              <w:t>-65.05</w:t>
            </w:r>
          </w:p>
        </w:tc>
        <w:tc>
          <w:tcPr>
            <w:tcW w:type="dxa" w:w="864"/>
          </w:tcPr>
          <w:p>
            <w:r>
              <w:t>-21.4</w:t>
            </w:r>
          </w:p>
        </w:tc>
        <w:tc>
          <w:tcPr>
            <w:tcW w:type="dxa" w:w="864"/>
          </w:tcPr>
          <w:p>
            <w:r>
              <w:t>57.17</w:t>
            </w:r>
          </w:p>
        </w:tc>
        <w:tc>
          <w:tcPr>
            <w:tcW w:type="dxa" w:w="864"/>
          </w:tcPr>
          <w:p>
            <w:r>
              <w:t>57.17</w:t>
            </w:r>
          </w:p>
        </w:tc>
        <w:tc>
          <w:tcPr>
            <w:tcW w:type="dxa" w:w="864"/>
          </w:tcPr>
          <w:p>
            <w:r>
              <w:t>246.9</w:t>
            </w:r>
          </w:p>
        </w:tc>
        <w:tc>
          <w:tcPr>
            <w:tcW w:type="dxa" w:w="864"/>
          </w:tcPr>
          <w:p>
            <w:r>
              <w:t>181.8</w:t>
            </w:r>
          </w:p>
        </w:tc>
        <w:tc>
          <w:tcPr>
            <w:tcW w:type="dxa" w:w="864"/>
          </w:tcPr>
          <w:p>
            <w:r>
              <w:t>-65.0</w:t>
            </w:r>
          </w:p>
        </w:tc>
      </w:tr>
      <w:tr>
        <w:tc>
          <w:tcPr>
            <w:tcW w:type="dxa" w:w="864"/>
          </w:tcPr>
          <w:p>
            <w:r>
              <w:t>Sinic</w:t>
            </w:r>
          </w:p>
        </w:tc>
        <w:tc>
          <w:tcPr>
            <w:tcW w:type="dxa" w:w="864"/>
          </w:tcPr>
          <w:p>
            <w:r>
              <w:t>1392.6</w:t>
            </w:r>
          </w:p>
        </w:tc>
        <w:tc>
          <w:tcPr>
            <w:tcW w:type="dxa" w:w="864"/>
          </w:tcPr>
          <w:p>
            <w:r>
              <w:t>936.4</w:t>
            </w:r>
          </w:p>
        </w:tc>
        <w:tc>
          <w:tcPr>
            <w:tcW w:type="dxa" w:w="864"/>
          </w:tcPr>
          <w:p>
            <w:r>
              <w:t>-456.17</w:t>
            </w:r>
          </w:p>
        </w:tc>
        <w:tc>
          <w:tcPr>
            <w:tcW w:type="dxa" w:w="864"/>
          </w:tcPr>
          <w:p>
            <w:r>
              <w:t>-32.8</w:t>
            </w:r>
          </w:p>
        </w:tc>
        <w:tc>
          <w:tcPr>
            <w:tcW w:type="dxa" w:w="864"/>
          </w:tcPr>
          <w:p>
            <w:r>
              <w:t>112.34</w:t>
            </w:r>
          </w:p>
        </w:tc>
        <w:tc>
          <w:tcPr>
            <w:tcW w:type="dxa" w:w="864"/>
          </w:tcPr>
          <w:p>
            <w:r>
              <w:t>112.34</w:t>
            </w:r>
          </w:p>
        </w:tc>
        <w:tc>
          <w:tcPr>
            <w:tcW w:type="dxa" w:w="864"/>
          </w:tcPr>
          <w:p>
            <w:r>
              <w:t>1280.3</w:t>
            </w:r>
          </w:p>
        </w:tc>
        <w:tc>
          <w:tcPr>
            <w:tcW w:type="dxa" w:w="864"/>
          </w:tcPr>
          <w:p>
            <w:r>
              <w:t>824.1</w:t>
            </w:r>
          </w:p>
        </w:tc>
        <w:tc>
          <w:tcPr>
            <w:tcW w:type="dxa" w:w="864"/>
          </w:tcPr>
          <w:p>
            <w:r>
              <w:t>-456.2</w:t>
            </w:r>
          </w:p>
        </w:tc>
      </w:tr>
      <w:tr>
        <w:tc>
          <w:tcPr>
            <w:tcW w:type="dxa" w:w="864"/>
          </w:tcPr>
          <w:p>
            <w:r>
              <w:t>United States</w:t>
            </w:r>
          </w:p>
        </w:tc>
        <w:tc>
          <w:tcPr>
            <w:tcW w:type="dxa" w:w="864"/>
          </w:tcPr>
          <w:p>
            <w:r>
              <w:t>806.7</w:t>
            </w:r>
          </w:p>
        </w:tc>
        <w:tc>
          <w:tcPr>
            <w:tcW w:type="dxa" w:w="864"/>
          </w:tcPr>
          <w:p>
            <w:r>
              <w:t>547.3</w:t>
            </w:r>
          </w:p>
        </w:tc>
        <w:tc>
          <w:tcPr>
            <w:tcW w:type="dxa" w:w="864"/>
          </w:tcPr>
          <w:p>
            <w:r>
              <w:t>-259.33</w:t>
            </w:r>
          </w:p>
        </w:tc>
        <w:tc>
          <w:tcPr>
            <w:tcW w:type="dxa" w:w="864"/>
          </w:tcPr>
          <w:p>
            <w:r>
              <w:t>-32.1</w:t>
            </w:r>
          </w:p>
        </w:tc>
        <w:tc>
          <w:tcPr>
            <w:tcW w:type="dxa" w:w="864"/>
          </w:tcPr>
          <w:p>
            <w:r>
              <w:t>132.49</w:t>
            </w:r>
          </w:p>
        </w:tc>
        <w:tc>
          <w:tcPr>
            <w:tcW w:type="dxa" w:w="864"/>
          </w:tcPr>
          <w:p>
            <w:r>
              <w:t>132.49</w:t>
            </w:r>
          </w:p>
        </w:tc>
        <w:tc>
          <w:tcPr>
            <w:tcW w:type="dxa" w:w="864"/>
          </w:tcPr>
          <w:p>
            <w:r>
              <w:t>674.2</w:t>
            </w:r>
          </w:p>
        </w:tc>
        <w:tc>
          <w:tcPr>
            <w:tcW w:type="dxa" w:w="864"/>
          </w:tcPr>
          <w:p>
            <w:r>
              <w:t>414.8</w:t>
            </w:r>
          </w:p>
        </w:tc>
        <w:tc>
          <w:tcPr>
            <w:tcW w:type="dxa" w:w="864"/>
          </w:tcPr>
          <w:p>
            <w:r>
              <w:t>-259.3</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w:t>
      </w:r>
    </w:p>
    <w:p>
      <w:pPr>
        <w:pStyle w:val="Heading2"/>
      </w:pPr>
      <w:r>
        <w:t>5.3 Policy counterfactuals</w:t>
      </w:r>
    </w:p>
    <w:p>
      <w:r>
        <w:t>Table 7 reports the single intervention with the largest margin gain per 10% lever change for each group. Reducing dropout is the dominant positive lever for every civilisation, which is consistent with the elasticity results in Table 3. The gain per 10% reduction in d ranges from about 33 additional active researchers for Japan to about 260 for the Sinic group, reflecting differences in cohort size and baseline attrition. No other single lever comes close to dropout reduction in terms of margin gained per unit policy effort,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intervention.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135.3</w:t>
            </w:r>
          </w:p>
        </w:tc>
        <w:tc>
          <w:tcPr>
            <w:tcW w:type="dxa" w:w="1440"/>
          </w:tcPr>
          <w:p>
            <w:r>
              <w:t>135.3</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95.7</w:t>
            </w:r>
          </w:p>
        </w:tc>
        <w:tc>
          <w:tcPr>
            <w:tcW w:type="dxa" w:w="1440"/>
          </w:tcPr>
          <w:p>
            <w:r>
              <w:t>95.7</w:t>
            </w:r>
          </w:p>
        </w:tc>
      </w:tr>
    </w:tbl>
    <w:p>
      <w:pPr>
        <w:jc w:val="center"/>
      </w:pPr>
      <w:r>
        <w:rPr>
          <w:i/>
        </w:rPr>
        <w:t>Table 7. Top positive intervention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1163</w:t>
            </w:r>
          </w:p>
        </w:tc>
        <w:tc>
          <w:tcPr>
            <w:tcW w:type="dxa" w:w="1728"/>
          </w:tcPr>
          <w:p>
            <w:r>
              <w:t>[727, 4966]</w:t>
            </w:r>
          </w:p>
        </w:tc>
        <w:tc>
          <w:tcPr>
            <w:tcW w:type="dxa" w:w="1728"/>
          </w:tcPr>
          <w:p>
            <w:r>
              <w:t>1461</w:t>
            </w:r>
          </w:p>
        </w:tc>
        <w:tc>
          <w:tcPr>
            <w:tcW w:type="dxa" w:w="1728"/>
          </w:tcPr>
          <w:p>
            <w:r>
              <w:t>[605, 4866]</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805</w:t>
            </w:r>
          </w:p>
        </w:tc>
        <w:tc>
          <w:tcPr>
            <w:tcW w:type="dxa" w:w="1728"/>
          </w:tcPr>
          <w:p>
            <w:r>
              <w:t>[428, 2620]</w:t>
            </w:r>
          </w:p>
        </w:tc>
        <w:tc>
          <w:tcPr>
            <w:tcW w:type="dxa" w:w="1728"/>
          </w:tcPr>
          <w:p>
            <w:r>
              <w:t>837</w:t>
            </w:r>
          </w:p>
        </w:tc>
        <w:tc>
          <w:tcPr>
            <w:tcW w:type="dxa" w:w="1728"/>
          </w:tcPr>
          <w:p>
            <w:r>
              <w:t>[343, 2542]</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[10]</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exogenous entry (I0) is the closest point of no return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[6]</w:t>
      </w:r>
      <w:r>
        <w:t>. Policies that sustain that pipeline, such as doctoral funding, visa routes for early-career researchers, and stable junior positions, are therefore first-order defences against a point of no return.</w:t>
      </w:r>
    </w:p>
    <w:p>
      <w:r>
        <w:t>Second, among the mobility transition rates, dropout is the dominant lever. Its elasticity is near -2 for every group, and reducing it yields the largest margin gain per unit effort in the policy counterfactuals. Attrition matters because it removes researchers from every compartment, not just one. A 10% reduction in dropout expands the safety margin more than comparably sized increases in return, hit generation or promotion. For groups with small safety margins, such as Japan, even modest attrition reductions may substantially delay the threshold.</w:t>
      </w:r>
    </w:p>
    <w:p>
      <w:r>
        <w:t>Third, the positive transition levers are not symmetric. PI promotion (p_D) and domestic hit generation (h_D) have positive but smaller elasticities than dropout reduction. Return from abroad (β) is also positive, though its effect is generally smaller than keeping researchers from leaving in the first place. The implication for policy is that retention is usually cheaper and more effective than return, but a balanced portfolio is still needed: a community without domestic PI growth cannot reproduce itself through attrition reduction alone.</w:t>
      </w:r>
    </w:p>
    <w:p>
      <w:r>
        <w:t>Fourth, the historical counterfactual shows that the late-window rates, if they persisted, would change equilibrium margins in both directions. Several large groups would see lower safety margins, while Japan and some smaller groups would see higher margins. This heterogeneity cautions against treating AI/ML mobility as a single global trend. It also confirms that the model can detect temporal changes in transition rates, which is the prerequisite for the early intervention the framework is designed to support.</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[12]</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[16]</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[14]</w:t>
      </w:r>
      <w:r>
        <w:t>, in which the central question is not only who wins the current round but whether the global system retains enough diversity for future rounds</w:t>
      </w:r>
      <w:r>
        <w:rPr>
          <w:vertAlign w:val="superscript"/>
        </w:rPr>
        <w:t>[13]</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pPr>
        <w:pStyle w:val="Heading2"/>
      </w:pPr>
      <w:r>
        <w:t>6.4 Limitations</w:t>
      </w:r>
    </w:p>
    <w:p>
      <w:r>
        <w:t>Several limitations should be acknowledged. OpenAlex affiliation and country assignments are noisy, especially for researchers with multiple affiliations. The civilisation grouping is a coarse aggregation; within-group heterogeneity is substantial. The model is a steady-state ODE and does not capture short-term dynamics, cross-civilisation spillovers, or the non-linear effects of network externalities. The cohort sample is small; the absolute equilibrium numbers should be interpreted as model-implied stocks rather than as census counts. Finally, the point-of-no-return threshold is a sufficient condition for collapse, not a necessary one: a community may decline for reasons outside the model even if T remains above M.</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and reducing it is the single most efficient policy response for every civilisation. However, the closest point of no return is exogenous entry for most groups,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Finally, the framework can be integrated with policy cost data to produce cost-effectiveness comparisons of alternative interventions.</w:t>
      </w:r>
    </w:p>
    <w:p>
      <w:pPr>
        <w:pStyle w:val="Heading1"/>
      </w:pPr>
      <w:r>
        <w:t>References</w:t>
      </w:r>
    </w:p>
    <w:p>
      <w:r>
        <w:t>1. Momentumyy. 人材流出ではなく『遷移係数』で考える研究コミュニティの存亡. note, 2024. https://note.com/momentumyy/n/n86df5d34282d (accessed 2026-08-09).</w:t>
      </w:r>
    </w:p>
    <w:p>
      <w:r>
        <w:t>2. Huntington S P. The Clash of Civilizations and the Remaking of World Order. New York: Simon &amp; Schuster, 1996.</w:t>
      </w:r>
    </w:p>
    <w:p>
      <w:r>
        <w:t>3. Priem J, Piwowar H, Orr R. OpenAlex: A fully-open index of scholarly works, authors, venues, institutions, and concepts. arXiv:2205.01833, 2022. https://doi.org/10.48550/arXiv.2205.01833</w:t>
      </w:r>
    </w:p>
    <w:p>
      <w:r>
        <w:t>4. Thorn K, Holm-Nielsen L B. International Mobility of Researchers and Scientists: Policy Options for Turning a Drain into a Gain. UNU-WIDER Research Paper No. 2006/83, 2006. https://www.wider.unu.edu/sites/default/files/rp2006-83.pdf</w:t>
      </w:r>
    </w:p>
    <w:p>
      <w:r>
        <w:t>5. Appelt S, van Beuzekom B, Galindo-Rueda F, de Pinho R. Which factors influence the international mobility of research scientists? OECD Science, Technology and Industry Working Papers 2015/02, 2015. https://doi.org/10.1787/5js1tmrr2233-en</w:t>
      </w:r>
    </w:p>
    <w:p>
      <w:r>
        <w:t>6. MacroPolo. The Global AI Talent Tracker 2.0. Paulson Institute, 2023. https://macropolo.org/digital-projects/the-global-ai-talent-tracker/</w:t>
      </w:r>
    </w:p>
    <w:p>
      <w:r>
        <w:t>7. AlShebli B, Memon S A, Evans J A, Rahwan T. China and the U.S. produce more impactful AI research when collaborating together. Sci Rep. 2024;14:28576. https://doi.org/10.1038/s41598-024-79863-5</w:t>
      </w:r>
    </w:p>
    <w:p>
      <w:r>
        <w:t>8. Yuan S, Shao Z, Wei X, Tang J, Hall W, Wang Y, et al. Science behind AI: the evolution of trend, mobility, and collaboration. Scientometrics. 2020;124(2):993-1013. https://doi.org/10.1007/s11192-020-03423-7</w:t>
      </w:r>
    </w:p>
    <w:p>
      <w:r>
        <w:t>9. Shaffer M L. Minimum Population Sizes for Species Conservation. BioScience. 1981;31(2):131-134.</w:t>
      </w:r>
    </w:p>
    <w:p>
      <w:r>
        <w:t>10. Franzoni C, Scellato G, Stephan P E. Foreign-born scientists: mobility patterns for 16 countries. Nat Biotechnol. 2012;30(12):1250-1253.</w:t>
      </w:r>
    </w:p>
    <w:p>
      <w:r>
        <w:t>11. Aghion P, Bloom N, Blundell R, Griffith R, Howitt P. Competition and innovation: an inverted-U relationship. Q J Econ. 2005;120(2):701-728.</w:t>
      </w:r>
    </w:p>
    <w:p>
      <w:r>
        <w:t>12. Freeman R B, Huang W. Collaboration: Strength in diversity. Nature. 2014;513(7518):305. https://doi.org/10.1038/513305a</w:t>
      </w:r>
    </w:p>
    <w:p>
      <w:r>
        <w:t>13. Kerr W R. Global Talent and U.S. Immigration Policy. Harvard Business School Working Paper No. 20-107, 2020. https://www.hbs.edu/ris/Publication%20Files/20-107_0967f1ab-1d23-4d54-b5a1-c884234d9b31.pdf</w:t>
      </w:r>
    </w:p>
    <w:p>
      <w:r>
        <w:t>14. Shachar A. The Race for Talent: Highly Skilled Migrants and Competitive Immigration Regimes. NYU Law Rev. 2006;81(1):148-206.</w:t>
      </w:r>
    </w:p>
    <w:p>
      <w:r>
        <w:t>15. Stephan P E. The Economics of Science. J Econ Lit. 1996;34(3):1199-1235.</w:t>
      </w:r>
    </w:p>
    <w:p>
      <w:r>
        <w:t>16. Jones B F, Wuchty S, Uzzi B. Multi-University Research Teams: Shifting Impact, Geography, and Stratification in Science. Science. 2008;322(5905):1259-1262.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