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r>
        <w:t>Tatsuki Onishi</w:t>
      </w:r>
    </w:p>
    <w:p>
      <w:pPr>
        <w:spacing w:line="360" w:lineRule="auto"/>
      </w:pPr>
      <w:r>
        <w:t>Data Science AI Innovation Research Promotion Center</w:t>
      </w:r>
    </w:p>
    <w:p>
      <w:pPr>
        <w:spacing w:line="360" w:lineRule="auto"/>
      </w:pPr>
      <w:r>
        <w:t>Shiga University</w:t>
      </w:r>
    </w:p>
    <w:p>
      <w:pPr>
        <w:spacing w:line="360" w:lineRule="auto"/>
      </w:pPr>
      <w:r>
        <w:t>1-1-1, Bamba, Hikone, Shiga, 522-8522 Japan</w:t>
      </w:r>
    </w:p>
    <w:p>
      <w:pPr>
        <w:spacing w:line="360" w:lineRule="auto"/>
      </w:pPr>
      <w:r>
        <w:t>Telephone: +81-749-27-1023</w:t>
      </w:r>
    </w:p>
    <w:p>
      <w:pPr>
        <w:spacing w:line="360" w:lineRule="auto"/>
      </w:pPr>
      <w:r>
        <w:t>E-mail: bougtoir@gmail.com</w:t>
      </w:r>
    </w:p>
    <w:p>
      <w:pPr>
        <w:spacing w:line="360" w:lineRule="auto"/>
      </w:pPr>
      <w:r>
        <w:t>ORCID: 0000-0001-7261-9062</w:t>
      </w:r>
    </w:p>
    <w:p>
      <w:pPr>
        <w:spacing w:line="360" w:lineRule="auto"/>
      </w:pPr>
    </w:p>
    <w:p>
      <w:pPr>
        <w:spacing w:line="360" w:lineRule="auto"/>
      </w:pPr>
      <w:r>
        <w:t>19 May 2026</w:t>
      </w:r>
    </w:p>
    <w:p>
      <w:pPr>
        <w:spacing w:line="360" w:lineRule="auto"/>
      </w:pPr>
    </w:p>
    <w:p>
      <w:pPr>
        <w:spacing w:line="360" w:lineRule="auto"/>
      </w:pPr>
      <w:r>
        <w:t>The Coordinating Editor</w:t>
      </w:r>
    </w:p>
    <w:p>
      <w:pPr>
        <w:spacing w:line="360" w:lineRule="auto"/>
      </w:pPr>
      <w:r>
        <w:rPr>
          <w:i/>
        </w:rPr>
        <w:t>Empirical Economics</w:t>
      </w:r>
    </w:p>
    <w:p>
      <w:pPr>
        <w:spacing w:line="360" w:lineRule="auto"/>
      </w:pPr>
    </w:p>
    <w:p>
      <w:pPr>
        <w:spacing w:line="360" w:lineRule="auto"/>
      </w:pPr>
      <w:r>
        <w:t>Dear Editor,</w:t>
      </w:r>
    </w:p>
    <w:p>
      <w:pPr>
        <w:spacing w:line="360" w:lineRule="auto"/>
      </w:pPr>
    </w:p>
    <w:p>
      <w:pPr>
        <w:spacing w:line="360" w:lineRule="auto"/>
      </w:pPr>
      <w:r>
        <w:t xml:space="preserve">I am pleased to submit for your consideration the enclosed manuscript, </w:t>
      </w:r>
      <w:r>
        <w:rPr>
          <w:b/>
        </w:rPr>
        <w:t>"Drifting Time-to-Build and the Forgotten Intangible Share: A Joint Identification of Flow and Stock National Accounts"</w:t>
      </w:r>
      <w:r>
        <w:t xml:space="preserve">, as an Article for </w:t>
      </w:r>
      <w:r>
        <w:rPr>
          <w:i/>
        </w:rPr>
        <w:t>Empirical Economics</w:t>
      </w:r>
      <w:r>
        <w:t>.</w:t>
      </w:r>
    </w:p>
    <w:p>
      <w:pPr>
        <w:spacing w:line="360" w:lineRule="auto"/>
      </w:pPr>
    </w:p>
    <w:p>
      <w:pPr>
        <w:spacing w:line="360" w:lineRule="auto"/>
      </w:pPr>
      <w:r>
        <w:t>The paper applies a joint identification framework to estimate two latent parameters — a time-varying investment-to-output lag μ(t) and an intangible-capital share β — using both national-income flow data (Penn World Table 10.01) and national-wealth stock data (World Bank Changing Wealth of Nations) across 39 OECD and middle-income economies. The identification strategy, based on grid search over non-convex objective surfaces with residual bootstrap inference, exploits the information content of both the production side and the wealth side to pin down structural parameters that neither data source alone can identify.</w:t>
      </w:r>
    </w:p>
    <w:p>
      <w:pPr>
        <w:spacing w:line="360" w:lineRule="auto"/>
      </w:pPr>
    </w:p>
    <w:p>
      <w:pPr>
        <w:spacing w:line="360" w:lineRule="auto"/>
      </w:pPr>
      <w:r>
        <w:t>The empirical results include: (i) a time-varying μ(t) reduces the median out-of-sample MAPE of GDP levels on a 2015–2019 holdout from 4.60% to 3.99% — a 13% relative improvement; (ii) joint identification rejects μ = 0 for 35/39 countries and β = 0 for 28/39, with bootstrap 95% intervals whose shape varies systematically with R&amp;D intensity; (iii) a novel Relational PIM diagnostic — transplanting the Brass relational model from demography — shows that the corrections move the PIM–CWON consistency parameter ρ̂₂ toward unity (median 0.801 → 0.833); (iv) a CWON trajectory RMSE metric on the holdout reveals a 15% improvement under tempo drift (M2) relative to the Solow baseline, capturing model performance along a dimension that GDP-level MAPE misses.</w:t>
      </w:r>
    </w:p>
    <w:p>
      <w:pPr>
        <w:spacing w:line="360" w:lineRule="auto"/>
      </w:pPr>
    </w:p>
    <w:p>
      <w:pPr>
        <w:spacing w:line="360" w:lineRule="auto"/>
      </w:pPr>
      <w:r>
        <w:t xml:space="preserve">I believe this work is well suited to </w:t>
      </w:r>
      <w:r>
        <w:rPr>
          <w:i/>
        </w:rPr>
        <w:t>Empirical Economics</w:t>
      </w:r>
      <w:r>
        <w:t xml:space="preserve"> for three reasons. First, it applies advanced econometric and statistical methods (grid search on non-convex surfaces, residual bootstrap, joint loss minimisation) to confront economic theory with observed data across a large cross-country panel — directly matching the journal's stated scope. Second, the identification strategy does not require structural assumptions beyond the standard production function and perpetual inventory method, making it replicable across different data vintages and country samples. Third, the Relational PIM diagnostic is a general-purpose empirical tool for assessing flow–stock consistency in any national-accounting context, with potential applications beyond the capital-accounting setting studied here.</w:t>
      </w:r>
    </w:p>
    <w:p>
      <w:pPr>
        <w:spacing w:line="360" w:lineRule="auto"/>
      </w:pPr>
    </w:p>
    <w:p>
      <w:pPr>
        <w:spacing w:line="360" w:lineRule="auto"/>
      </w:pPr>
      <w:r>
        <w:t>The manuscript is approximately 8,500 words of body text, with nine figures and four tables.</w:t>
      </w:r>
    </w:p>
    <w:p>
      <w:pPr>
        <w:spacing w:line="360" w:lineRule="auto"/>
      </w:pPr>
    </w:p>
    <w:p>
      <w:pPr>
        <w:spacing w:line="360" w:lineRule="auto"/>
      </w:pPr>
      <w:r>
        <w:t>I confirm the following:</w:t>
      </w:r>
    </w:p>
    <w:p>
      <w:pPr>
        <w:spacing w:line="360" w:lineRule="auto"/>
      </w:pPr>
    </w:p>
    <w:p>
      <w:pPr>
        <w:pStyle w:val="ListBullet"/>
        <w:spacing w:line="360" w:lineRule="auto"/>
      </w:pPr>
      <w:r>
        <w:t>This work is original and has not been published elsewhere.</w:t>
      </w:r>
    </w:p>
    <w:p>
      <w:pPr>
        <w:pStyle w:val="ListBullet"/>
        <w:spacing w:line="360" w:lineRule="auto"/>
      </w:pPr>
      <w:r>
        <w:t>The manuscript is not under consideration by any other journal.</w:t>
      </w:r>
    </w:p>
    <w:p>
      <w:pPr>
        <w:pStyle w:val="ListBullet"/>
        <w:spacing w:line="360" w:lineRule="auto"/>
      </w:pPr>
      <w:r>
        <w:t>All data sources (Penn World Table 10.01; World Bank CWON; World Bank WDI) are publicly available; analysis code and intermediate outputs are archived in the public companion repository.</w:t>
      </w:r>
    </w:p>
    <w:p>
      <w:pPr>
        <w:pStyle w:val="ListBullet"/>
        <w:spacing w:line="360" w:lineRule="auto"/>
      </w:pPr>
      <w:r>
        <w:t>I am the sole author.</w:t>
      </w:r>
    </w:p>
    <w:p>
      <w:pPr>
        <w:pStyle w:val="ListBullet"/>
        <w:spacing w:line="360" w:lineRule="auto"/>
      </w:pPr>
      <w:r>
        <w:t>I have no competing interests, financial or otherwise, related to this work.</w:t>
      </w:r>
    </w:p>
    <w:p>
      <w:pPr>
        <w:pStyle w:val="ListBullet"/>
        <w:spacing w:line="360" w:lineRule="auto"/>
      </w:pPr>
      <w:r>
        <w:t>I used generative AI to assist with formatting the text, choosing words, and writing analysis code; this is documented in the manuscript.</w:t>
      </w:r>
    </w:p>
    <w:p>
      <w:pPr>
        <w:spacing w:line="360" w:lineRule="auto"/>
      </w:pPr>
    </w:p>
    <w:p>
      <w:pPr>
        <w:spacing w:line="360" w:lineRule="auto"/>
      </w:pPr>
      <w:r>
        <w:t>I would be grateful for your consideration.</w:t>
      </w:r>
    </w:p>
    <w:p>
      <w:pPr>
        <w:spacing w:line="360" w:lineRule="auto"/>
      </w:pPr>
    </w:p>
    <w:p>
      <w:pPr>
        <w:spacing w:line="360" w:lineRule="auto"/>
      </w:pPr>
      <w:r>
        <w:t>Yours sincerely,</w:t>
      </w:r>
    </w:p>
    <w:p>
      <w:pPr>
        <w:spacing w:line="360" w:lineRule="auto"/>
      </w:pPr>
    </w:p>
    <w:p>
      <w:pPr>
        <w:spacing w:line="360" w:lineRule="auto"/>
      </w:pPr>
      <w:r>
        <w:t>Tatsuki Onishi</w:t>
      </w:r>
    </w:p>
    <w:p>
      <w:pPr>
        <w:spacing w:line="360" w:lineRule="auto"/>
      </w:pPr>
      <w:r>
        <w:t>Data Science AI Innovation Research Promotion Center</w:t>
      </w:r>
    </w:p>
    <w:p>
      <w:pPr>
        <w:spacing w:line="360" w:lineRule="auto"/>
      </w:pPr>
      <w:r>
        <w:t>Shiga University</w:t>
      </w:r>
    </w:p>
    <w:p>
      <w:pPr>
        <w:spacing w:line="360" w:lineRule="auto"/>
      </w:pPr>
      <w:r>
        <w:t>bougtoir@gmail.com</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