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Drifting Time-to-Build and the Forgotten Intangible Share: A Joint Identification of Flow and Stock National Accounts</w:t>
      </w:r>
    </w:p>
    <w:p>
      <w:pPr>
        <w:spacing w:after="120" w:line="480" w:lineRule="auto"/>
        <w:ind w:firstLine="480"/>
      </w:pPr>
      <w:r>
        <w:rPr>
          <w:rFonts w:ascii="Times New Roman" w:hAnsi="Times New Roman" w:eastAsia="MS Mincho"/>
          <w:b w:val="0"/>
          <w:i w:val="0"/>
          <w:sz w:val="24"/>
        </w:rPr>
        <w:t>Tatsuki Onishi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val="0"/>
          <w:i w:val="0"/>
          <w:sz w:val="24"/>
        </w:rPr>
        <w:t>Keywords: time-to-build; intangible capital; perpetual inventory method; bootstrap inference; out-of-sample prediction; flow-stock consistency.</w:t>
      </w:r>
    </w:p>
    <w:p>
      <w:pPr>
        <w:spacing w:after="120" w:line="480" w:lineRule="auto"/>
        <w:ind w:firstLine="480"/>
      </w:pPr>
      <w:r>
        <w:rPr>
          <w:rFonts w:ascii="Times New Roman" w:hAnsi="Times New Roman" w:eastAsia="MS Mincho"/>
          <w:b w:val="0"/>
          <w:i w:val="0"/>
          <w:sz w:val="24"/>
        </w:rPr>
        <w:t>JEL codes: E01; E22; O47; C13.</w:t>
      </w:r>
    </w:p>
    <w:p>
      <w:pPr>
        <w:spacing w:after="120" w:line="480" w:lineRule="auto"/>
        <w:ind w:firstLine="480"/>
      </w:pPr>
      <w:r>
        <w:rPr>
          <w:rFonts w:ascii="Times New Roman" w:hAnsi="Times New Roman" w:eastAsia="MS Mincho"/>
          <w:b w:val="0"/>
          <w:i w:val="0"/>
          <w:sz w:val="24"/>
        </w:rPr>
        <w:t>Statements and Declarations</w:t>
      </w:r>
    </w:p>
    <w:p>
      <w:pPr>
        <w:spacing w:after="120" w:line="480" w:lineRule="auto"/>
        <w:ind w:firstLine="480"/>
      </w:pPr>
      <w:r>
        <w:rPr>
          <w:rFonts w:ascii="Times New Roman" w:hAnsi="Times New Roman" w:eastAsia="MS Mincho"/>
          <w:b w:val="0"/>
          <w:i w:val="0"/>
          <w:sz w:val="24"/>
        </w:rPr>
        <w:t>Competing interests. The author declares no competing interests.</w:t>
      </w:r>
    </w:p>
    <w:p>
      <w:pPr>
        <w:spacing w:after="120" w:line="480" w:lineRule="auto"/>
        <w:ind w:firstLine="480"/>
      </w:pPr>
      <w:r>
        <w:rPr>
          <w:rFonts w:ascii="Times New Roman" w:hAnsi="Times New Roman" w:eastAsia="MS Mincho"/>
          <w:b w:val="0"/>
          <w:i w:val="0"/>
          <w:sz w:val="24"/>
        </w:rPr>
        <w:t>Funding. No external funding was received for this research.</w:t>
      </w:r>
    </w:p>
    <w:p>
      <w:pPr>
        <w:spacing w:after="120" w:line="480" w:lineRule="auto"/>
        <w:ind w:firstLine="480"/>
      </w:pPr>
      <w:r>
        <w:rPr>
          <w:rFonts w:ascii="Times New Roman" w:hAnsi="Times New Roman" w:eastAsia="MS Mincho"/>
          <w:b w:val="0"/>
          <w:i w:val="0"/>
          <w:sz w:val="24"/>
        </w:rPr>
        <w:t>Data and code availability.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480" w:lineRule="auto"/>
        <w:ind w:firstLine="480"/>
      </w:pPr>
      <w:r>
        <w:rPr>
          <w:rFonts w:ascii="Times New Roman" w:hAnsi="Times New Roman" w:eastAsia="MS Mincho"/>
          <w:b w:val="0"/>
          <w:i w:val="0"/>
          <w:sz w:val="24"/>
        </w:rPr>
        <w:t>Use of AI tools.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480" w:lineRule="auto"/>
        <w:ind w:firstLine="480"/>
      </w:pPr>
      <w:r>
        <w:rPr>
          <w:rFonts w:ascii="Times New Roman" w:hAnsi="Times New Roman" w:eastAsia="MS Mincho"/>
          <w:b w:val="0"/>
          <w:i w:val="0"/>
          <w:sz w:val="24"/>
        </w:rPr>
        <w:t>Abstract (168 words). Goldstein, Lutz, and Scherbov (2003) showed that a single "forgotten" parity-specific variance parameter resolved a large share of the low-fertility puzzle once tempo effects on the mean age at childbearing were acknowledged. National income and wealth accounting has no equivalent diagnostic. We port the Bongaarts-Feeney quantum-tempo decomposition to capital accounting by letting the investment-to-output time-to-build μ(t) drift over time and by re-introducing intangible capital K_I, with share β, as the balance-sheet analogue of the forgotten variance. Using a grid-search joint identification and residual bootstrap across 39 OECD and middle-income economies (Penn World Table 10.01, World Bank CWON), a time-varying μ(t) reduces the out-of-sample MAPE of GDP levels from 4.60% to 3.99%, a 13% relative improvement. Joint production-cum-wealth identification produces internally consistent flow and stock accounts, with a novel Relational PIM diagnostic that quantifies the degree of consistency between the two accounts.</w:t>
      </w:r>
    </w:p>
    <w:p>
      <w:pPr>
        <w:spacing w:after="120" w:line="480" w:lineRule="auto"/>
        <w:ind w:firstLine="480"/>
      </w:pPr>
      <w:r>
        <w:rPr>
          <w:rFonts w:ascii="Times New Roman" w:hAnsi="Times New Roman" w:eastAsia="MS Mincho"/>
          <w:b w:val="0"/>
          <w:i w:val="0"/>
          <w:sz w:val="24"/>
        </w:rPr>
        <w:t>Keywords: time-to-build; intangible capital; perpetual inventory method; bootstrap inference; out-of-sample prediction; flow-stock consistency.</w:t>
      </w:r>
    </w:p>
    <w:p>
      <w:pPr>
        <w:spacing w:after="120" w:line="480" w:lineRule="auto"/>
        <w:ind w:firstLine="480"/>
      </w:pPr>
      <w:r>
        <w:rPr>
          <w:rFonts w:ascii="Times New Roman" w:hAnsi="Times New Roman" w:eastAsia="MS Mincho"/>
          <w:b w:val="0"/>
          <w:i w:val="0"/>
          <w:sz w:val="24"/>
        </w:rPr>
        <w:t>JEL codes: E01, E22, O47, C13.</w:t>
      </w:r>
    </w:p>
    <w:p>
      <w:pPr>
        <w:spacing w:before="360" w:after="120" w:line="480" w:lineRule="auto"/>
      </w:pPr>
      <w:r>
        <w:rPr>
          <w:rFonts w:ascii="Times New Roman" w:hAnsi="Times New Roman" w:eastAsia="MS Mincho"/>
          <w:b/>
          <w:i w:val="0"/>
          <w:sz w:val="28"/>
        </w:rPr>
        <w:t>1. Introduction</w:t>
      </w:r>
    </w:p>
    <w:p>
      <w:pPr>
        <w:spacing w:after="120" w:line="480" w:lineRule="auto"/>
        <w:ind w:firstLine="480"/>
      </w:pPr>
      <w:r>
        <w:rPr>
          <w:rFonts w:ascii="Times New Roman" w:hAnsi="Times New Roman" w:eastAsia="MS Mincho"/>
          <w:b w:val="0"/>
          <w:i w:val="0"/>
          <w:sz w:val="24"/>
        </w:rPr>
        <w:t>Every macroeconomist has encountered two separate but related complaints about the way we measure national prosperity. First, Gross Domestic Product (GDP) is a flow measure that ignores depletion, depreciation, and the growing stock of intangible assets that drives modern productivity growth (Stiglitz, Sen, and Fitoussi, 2009; Corrado, Hulten, and Sichel, 2009; Haskel and Westlake, 2017). Second, stock-based alternatives such as the Inclusive Wealth Index (Managi and Kumar, 2018), the United Nations SEEA (UNECE, 2014), and the World Bank Changing Wealth of Nations (Lange, Wodon, and Carey, 2018) are attractive in principle but rarely line up with independently reconstructed capital stocks and never with one another. Flow-based and stock-based national accounts have lived side by side in different rooms of the same house for twenty-five years without being asked to sit down at the same table.</w:t>
      </w:r>
    </w:p>
    <w:p>
      <w:pPr>
        <w:spacing w:after="120" w:line="480" w:lineRule="auto"/>
        <w:ind w:firstLine="480"/>
      </w:pPr>
      <w:r>
        <w:rPr>
          <w:rFonts w:ascii="Times New Roman" w:hAnsi="Times New Roman" w:eastAsia="MS Mincho"/>
          <w:b w:val="0"/>
          <w:i w:val="0"/>
          <w:sz w:val="24"/>
        </w:rPr>
        <w:t>Demography has spent the same period quietly solving the mirror problem. Bongaarts and Feeney (1998) showed that a rising mean age at childbearing mechanically depresses period fertility even when completed cohort fertility is constant, and proposed an adjustment that stripped out the "tempo distortion". Goldstein, Lutz, and Scherbov (2003) reopened the debate by showing that once a parity-specific variance σ was allowed (the "forgotten parameter"), the tempo-adjusted fertility rate matched the cohort data far more closely. A generation of work on postponement, ultra-low fertility, and lifetime child-bearing risk followed. The pattern is simple: the period statistic was biased; the bias was a timing phenomenon; once you wrote down a structural timing parameter and a single forgotten quantity parameter, the flow and stock accounts of the reproduction process were reconciled.</w:t>
      </w:r>
    </w:p>
    <w:p>
      <w:pPr>
        <w:spacing w:after="120" w:line="480" w:lineRule="auto"/>
        <w:ind w:firstLine="480"/>
      </w:pPr>
      <w:r>
        <w:rPr>
          <w:rFonts w:ascii="Times New Roman" w:hAnsi="Times New Roman" w:eastAsia="MS Mincho"/>
          <w:b w:val="0"/>
          <w:i w:val="0"/>
          <w:sz w:val="24"/>
        </w:rPr>
        <w:t>This paper argues that capital accounting has an exact analogue of the Bongaarts-Feeney-Goldstein-Lutz-Scherbov correction, hiding in plain sight. The analogy is not rhetorical: every demographic quantity has a capital counterpart under a precise change of variables (Section 3.4, Table 2). Births are investment flows. Population stocks are capital stocks. The mean age at childbearing is the mean lag between investment and its productive deployment — the engineering and organisational "time-to-build" that Kydland and Prescott (1982) introduced but that has never been allowed to drift over time in standard production-function estimation. The parity-specific variance σ has a direct balance-sheet equivalent: the intangible capital share β that CHS have estimated but that official wealth accounts such as the CWON still treat as non-existent or residual.</w:t>
      </w:r>
    </w:p>
    <w:p>
      <w:pPr>
        <w:spacing w:after="120" w:line="480" w:lineRule="auto"/>
        <w:ind w:firstLine="480"/>
      </w:pPr>
      <w:r>
        <w:rPr>
          <w:rFonts w:ascii="Times New Roman" w:hAnsi="Times New Roman" w:eastAsia="MS Mincho"/>
          <w:b w:val="0"/>
          <w:i w:val="0"/>
          <w:sz w:val="24"/>
        </w:rPr>
        <w:t>Our contribution is four-fold. First, we write down the flow–stock identity dW/dt = S(Y) − δW in parameterised form, making the hidden parameters {μ(t), β} explicit on the flow side and on the stock side simultaneously. Second, we show that a time-varying time-to-build μ(t) — estimated with a two-parameter tempo drift μ(t) = μ₀ + μ₁·(t − t₀) — reduces the median out-of-sample MAPE of GDP level forecasts from 4.60 % to 3.99 % across 39 countries, a 13 % relative improvement that rivals gains from adding entirely new production factors. Third, we demonstrate that when the tempo and intangible corrections are jointly identified against CWON stock data, production-side and wealth-side likelihoods agree on a consistent pair (μ̂ₖ, β̂ₖ) for every country, which in our reading is the first empirical success of the "unified national-wealth accounting" programme that Stiglitz-Sen-Fitoussi called for. Fourth, we preview a companion paper extending the same tempo-plus-forgotten-parameter machinery to health expenditure and population health outcomes, where preliminary evidence shows the medical time-to-build lag has been widening at +0.15 years per year since 2000.</w:t>
      </w:r>
    </w:p>
    <w:p>
      <w:pPr>
        <w:spacing w:after="120" w:line="480" w:lineRule="auto"/>
        <w:ind w:firstLine="480"/>
      </w:pPr>
      <w:r>
        <w:rPr>
          <w:rFonts w:ascii="Times New Roman" w:hAnsi="Times New Roman" w:eastAsia="MS Mincho"/>
          <w:b w:val="0"/>
          <w:i w:val="0"/>
          <w:sz w:val="24"/>
        </w:rPr>
        <w:t>The remainder of the paper is organised as follows. Section 2 reviews the capital-accounting, intangibles, and tempo-demography literatures that our framework stitches together. Section 3 develops the theory. Section 4 describes the data and methods and defines five models M0–M4 of increasing generality. Section 5 reports results. Section 6 discusses the Solow-residual reinterpretation, the flow–stock reconciliation, and policy implications for Beyond-GDP. Section 7 concludes.</w:t>
      </w:r>
    </w:p>
    <w:p>
      <w:pPr>
        <w:spacing w:before="360" w:after="120" w:line="480" w:lineRule="auto"/>
      </w:pPr>
      <w:r>
        <w:rPr>
          <w:rFonts w:ascii="Times New Roman" w:hAnsi="Times New Roman" w:eastAsia="MS Mincho"/>
          <w:b/>
          <w:i w:val="0"/>
          <w:sz w:val="28"/>
        </w:rPr>
        <w:t>2. Related literature</w:t>
      </w:r>
    </w:p>
    <w:p>
      <w:pPr>
        <w:spacing w:after="120" w:line="480" w:lineRule="auto"/>
        <w:ind w:firstLine="480"/>
      </w:pPr>
      <w:r>
        <w:rPr>
          <w:rFonts w:ascii="Times New Roman" w:hAnsi="Times New Roman" w:eastAsia="MS Mincho"/>
          <w:b w:val="0"/>
          <w:i w:val="0"/>
          <w:sz w:val="24"/>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val="0"/>
          <w:i w:val="0"/>
          <w:sz w:val="24"/>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4.</w:t>
      </w:r>
    </w:p>
    <w:p>
      <w:pPr>
        <w:spacing w:after="120" w:line="480" w:lineRule="auto"/>
        <w:ind w:firstLine="480"/>
      </w:pPr>
      <w:r>
        <w:rPr>
          <w:rFonts w:ascii="Times New Roman" w:hAnsi="Times New Roman" w:eastAsia="MS Mincho"/>
          <w:b w:val="0"/>
          <w:i w:val="0"/>
          <w:sz w:val="24"/>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val="0"/>
          <w:i w:val="0"/>
          <w:sz w:val="24"/>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val="0"/>
          <w:i w:val="0"/>
          <w:sz w:val="24"/>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val="0"/>
          <w:i w:val="0"/>
          <w:sz w:val="24"/>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pPr>
      <w:r>
        <w:rPr>
          <w:rFonts w:ascii="Times New Roman" w:hAnsi="Times New Roman" w:eastAsia="MS Mincho"/>
          <w:b/>
          <w:i w:val="0"/>
          <w:sz w:val="28"/>
        </w:rPr>
        <w:t>3. Theory</w:t>
      </w:r>
    </w:p>
    <w:p>
      <w:pPr>
        <w:spacing w:before="360" w:after="120" w:line="480" w:lineRule="auto"/>
      </w:pPr>
      <w:r>
        <w:rPr>
          <w:rFonts w:ascii="Times New Roman" w:hAnsi="Times New Roman" w:eastAsia="MS Mincho"/>
          <w:b/>
          <w:i w:val="0"/>
          <w:sz w:val="24"/>
        </w:rPr>
        <w:t>3.1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with geometric weights w_s(μ) = (1 − θ)·θ^s and θ = μ/(1+μ), so the mean lag is exactly μ years. The key novelty relative to the existing lag literature is to allow μ to drift linearly over time:</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360" w:after="120" w:line="480" w:lineRule="auto"/>
      </w:pPr>
      <w:r>
        <w:rPr>
          <w:rFonts w:ascii="Times New Roman" w:hAnsi="Times New Roman" w:eastAsia="MS Mincho"/>
          <w:b/>
          <w:i w:val="0"/>
          <w:sz w:val="24"/>
        </w:rPr>
        <w:t>3.2 Stock-side intangibles: the forgotten β</w:t>
      </w:r>
    </w:p>
    <w:p>
      <w:pPr>
        <w:spacing w:after="120" w:line="480" w:lineRule="auto"/>
        <w:ind w:firstLine="480"/>
      </w:pPr>
      <w:r>
        <w:rPr>
          <w:rFonts w:ascii="Times New Roman" w:hAnsi="Times New Roman" w:eastAsia="MS Mincho"/>
          <w:b w:val="0"/>
          <w:i w:val="0"/>
          <w:sz w:val="24"/>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where β is the intangible share. Standard practice imposes β = 0 (Solow; also M0 and M1 here). Estimating β &gt; 0 is the capital-accounting analogue of re-introducing the parity-specific variance σ in Goldstein-Lutz-Scherbov.</w:t>
      </w:r>
    </w:p>
    <w:p>
      <w:pPr>
        <w:spacing w:before="360" w:after="120" w:line="480" w:lineRule="auto"/>
      </w:pPr>
      <w:r>
        <w:rPr>
          <w:rFonts w:ascii="Times New Roman" w:hAnsi="Times New Roman" w:eastAsia="MS Mincho"/>
          <w:b/>
          <w:i w:val="0"/>
          <w:sz w:val="24"/>
        </w:rPr>
        <w:t>3.3 Unifying identity: the flow-stock joint loss</w:t>
      </w:r>
    </w:p>
    <w:p>
      <w:pPr>
        <w:spacing w:after="120" w:line="480" w:lineRule="auto"/>
        <w:ind w:firstLine="480"/>
      </w:pPr>
      <w:r>
        <w:rPr>
          <w:rFonts w:ascii="Times New Roman" w:hAnsi="Times New Roman" w:eastAsia="MS Mincho"/>
          <w:b w:val="0"/>
          <w:i w:val="0"/>
          <w:sz w:val="24"/>
        </w:rPr>
        <w:t>Any consistent national wealth aggregate W(t) must satisfy the book-keeping identity</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360" w:after="120" w:line="480" w:lineRule="auto"/>
      </w:pPr>
      <w:r>
        <w:rPr>
          <w:rFonts w:ascii="Times New Roman" w:hAnsi="Times New Roman" w:eastAsia="MS Mincho"/>
          <w:b/>
          <w:i w:val="0"/>
          <w:sz w:val="24"/>
        </w:rPr>
        <w:t>3.4 Quantum–tempo correspondence between population and capital</w:t>
      </w:r>
    </w:p>
    <w:p>
      <w:pPr>
        <w:spacing w:after="120" w:line="480" w:lineRule="auto"/>
        <w:ind w:firstLine="480"/>
      </w:pPr>
      <w:r>
        <w:rPr>
          <w:rFonts w:ascii="Times New Roman" w:hAnsi="Times New Roman" w:eastAsia="MS Mincho"/>
          <w:b w:val="0"/>
          <w:i w:val="0"/>
          <w:sz w:val="24"/>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3.5 Relational PIM: a Brass model for capital accounting</w:t>
      </w:r>
    </w:p>
    <w:p>
      <w:pPr>
        <w:spacing w:after="120" w:line="480" w:lineRule="auto"/>
        <w:ind w:firstLine="480"/>
      </w:pPr>
      <w:r>
        <w:rPr>
          <w:rFonts w:ascii="Times New Roman" w:hAnsi="Times New Roman" w:eastAsia="MS Mincho"/>
          <w:b w:val="0"/>
          <w:i w:val="0"/>
          <w:sz w:val="24"/>
        </w:rPr>
        <w:t>Demography has long employed Brass relational models to compare an observed fertility or mortality schedule against a "standard" schedule via a small number of parameters that capture systematic deviations (Brass, 1971). We transplant this idea to capital accounting. Let K_PIM(t) denote the PIM-constructed stock under any of M0–M4, and let K_CWON(t) denote CWON produced capital NW.PCA.TO. We define the Relational PIM (RPIM) as:</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where (ρ₁, ρ₂) are the relational parameters estimated by OLS on the overlapping years where both series are observed and positive. The interpretation is direct:</w:t>
      </w:r>
    </w:p>
    <w:p>
      <w:pPr>
        <w:spacing w:after="120" w:line="480" w:lineRule="auto"/>
        <w:ind w:firstLine="480"/>
      </w:pPr>
      <w:r>
        <w:rPr>
          <w:rFonts w:ascii="Times New Roman" w:hAnsi="Times New Roman" w:eastAsia="MS Mincho"/>
          <w:b w:val="0"/>
          <w:i w:val="0"/>
          <w:sz w:val="24"/>
        </w:rPr>
        <w:t>* ρ₂ = 1 and ρ₁ = 0: the PIM and CWON accounts are perfectly consistent — they measure the same latent stock up to a white-noise error.</w:t>
      </w:r>
    </w:p>
    <w:p>
      <w:pPr>
        <w:spacing w:after="120" w:line="480" w:lineRule="auto"/>
        <w:ind w:firstLine="480"/>
      </w:pPr>
      <w:r>
        <w:rPr>
          <w:rFonts w:ascii="Times New Roman" w:hAnsi="Times New Roman" w:eastAsia="MS Mincho"/>
          <w:b w:val="0"/>
          <w:i w:val="0"/>
          <w:sz w:val="24"/>
        </w:rPr>
        <w:t>* ρ₂ ≠ 1: there is a cumulative (scale-dependent) bias in the PIM relative to CWON. If ρ₂ &lt; 1, the PIM understates the growth of capital relative to CWON; if ρ₂ &gt; 1, it overstates it.</w:t>
      </w:r>
    </w:p>
    <w:p>
      <w:pPr>
        <w:spacing w:after="120" w:line="480" w:lineRule="auto"/>
        <w:ind w:firstLine="480"/>
      </w:pPr>
      <w:r>
        <w:rPr>
          <w:rFonts w:ascii="Times New Roman" w:hAnsi="Times New Roman" w:eastAsia="MS Mincho"/>
          <w:b w:val="0"/>
          <w:i w:val="0"/>
          <w:sz w:val="24"/>
        </w:rPr>
        <w:t>* ρ₁ ≠ 0: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The novelty is threefold. First, to our knowledge no prior work has applied the Brass relational-model framework to capital accounting. Second, the RPIM does not treat CWON as "truth" — it parameterises the relationship between two independent estimates of the same latent stock, making systematic biases visible and quantifiable. Third, the diagnostic (ρ₁, ρ₂) can be computed under each model specification (M0 through M4), so improvement in ρ₂ toward unity serves as an independent check on whether the tempo and intangible corrections actually bring the two accounts closer together.</w:t>
      </w:r>
    </w:p>
    <w:p>
      <w:pPr>
        <w:spacing w:before="360" w:after="120" w:line="480" w:lineRule="auto"/>
      </w:pPr>
      <w:r>
        <w:rPr>
          <w:rFonts w:ascii="Times New Roman" w:hAnsi="Times New Roman" w:eastAsia="MS Mincho"/>
          <w:b/>
          <w:i w:val="0"/>
          <w:sz w:val="28"/>
        </w:rPr>
        <w:t>4. Data and methods</w:t>
      </w:r>
    </w:p>
    <w:p>
      <w:pPr>
        <w:spacing w:before="360" w:after="120" w:line="480" w:lineRule="auto"/>
      </w:pPr>
      <w:r>
        <w:rPr>
          <w:rFonts w:ascii="Times New Roman" w:hAnsi="Times New Roman" w:eastAsia="MS Mincho"/>
          <w:b/>
          <w:i w:val="0"/>
          <w:sz w:val="24"/>
        </w:rPr>
        <w:t>4.1 Data</w:t>
      </w:r>
    </w:p>
    <w:p>
      <w:pPr>
        <w:spacing w:after="120" w:line="480" w:lineRule="auto"/>
        <w:ind w:firstLine="480"/>
      </w:pPr>
      <w:r>
        <w:rPr>
          <w:rFonts w:ascii="Times New Roman" w:hAnsi="Times New Roman" w:eastAsia="MS Mincho"/>
          <w:b w:val="0"/>
          <w:i w:val="0"/>
          <w:sz w:val="24"/>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4.2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firstLine="480"/>
      </w:pPr>
      <w:r>
        <w:rPr>
          <w:rFonts w:ascii="Times New Roman" w:hAnsi="Times New Roman" w:eastAsia="MS Mincho"/>
          <w:b w:val="0"/>
          <w:i w:val="0"/>
          <w:sz w:val="24"/>
        </w:rPr>
        <w:t xml:space="preserve"> M0: Solow baseline, K_tang* as M0 above, β = 0.</w:t>
      </w:r>
    </w:p>
    <w:p>
      <w:pPr>
        <w:spacing w:after="120" w:line="480" w:lineRule="auto"/>
        <w:ind w:firstLine="480"/>
      </w:pPr>
      <w:r>
        <w:rPr>
          <w:rFonts w:ascii="Times New Roman" w:hAnsi="Times New Roman" w:eastAsia="MS Mincho"/>
          <w:b w:val="0"/>
          <w:i w:val="0"/>
          <w:sz w:val="24"/>
        </w:rPr>
        <w:t xml:space="preserve"> M1: Constant-lag PIM (M1) with μ = μ\ estimated per country by minimising Test B (growth-rate RMSE).</w:t>
      </w:r>
    </w:p>
    <w:p>
      <w:pPr>
        <w:spacing w:after="120" w:line="480" w:lineRule="auto"/>
        <w:ind w:firstLine="480"/>
      </w:pPr>
      <w:r>
        <w:rPr>
          <w:rFonts w:ascii="Times New Roman" w:hAnsi="Times New Roman" w:eastAsia="MS Mincho"/>
          <w:b w:val="0"/>
          <w:i w:val="0"/>
          <w:sz w:val="24"/>
        </w:rPr>
        <w:t>* M2: Time-varying lag μ(t) = μ₀ + μ₁·(t − t₀) from (M2).</w:t>
      </w:r>
    </w:p>
    <w:p>
      <w:pPr>
        <w:spacing w:after="120" w:line="480" w:lineRule="auto"/>
        <w:ind w:firstLine="480"/>
      </w:pPr>
      <w:r>
        <w:rPr>
          <w:rFonts w:ascii="Times New Roman" w:hAnsi="Times New Roman" w:eastAsia="MS Mincho"/>
          <w:b w:val="0"/>
          <w:i w:val="0"/>
          <w:sz w:val="24"/>
        </w:rPr>
        <w:t>* M3: M0 tangible stock augmented with intangible stock K_I and β estimated by growth-rate fit.</w:t>
      </w:r>
    </w:p>
    <w:p>
      <w:pPr>
        <w:spacing w:after="120" w:line="480" w:lineRule="auto"/>
        <w:ind w:firstLine="480"/>
      </w:pPr>
      <w:r>
        <w:rPr>
          <w:rFonts w:ascii="Times New Roman" w:hAnsi="Times New Roman" w:eastAsia="MS Mincho"/>
          <w:b w:val="0"/>
          <w:i w:val="0"/>
          <w:sz w:val="24"/>
        </w:rPr>
        <w:t>* M4: Joint identification (Section 3.3), minimising (2) over (μ, β)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firstLine="480"/>
      </w:pPr>
      <w:r>
        <w:rPr>
          <w:rFonts w:ascii="Times New Roman" w:hAnsi="Times New Roman" w:eastAsia="MS Mincho"/>
          <w:b w:val="0"/>
          <w:i w:val="0"/>
          <w:sz w:val="24"/>
        </w:rPr>
        <w:t>* Test A (level MAPE): mean absolute percentage error of fitted log-GDP against observed log-GDP, decomposing away decade-mean TFP. Lower is better.</w:t>
      </w:r>
    </w:p>
    <w:p>
      <w:pPr>
        <w:spacing w:after="120" w:line="480" w:lineRule="auto"/>
        <w:ind w:firstLine="480"/>
      </w:pPr>
      <w:r>
        <w:rPr>
          <w:rFonts w:ascii="Times New Roman" w:hAnsi="Times New Roman" w:eastAsia="MS Mincho"/>
          <w:b w:val="0"/>
          <w:i w:val="0"/>
          <w:sz w:val="24"/>
        </w:rPr>
        <w:t>* Test B (growth RMSE): root-mean-squared error of 1-year log-GDP differences, in percentage points. Lower is better.</w:t>
      </w:r>
    </w:p>
    <w:p>
      <w:pPr>
        <w:spacing w:after="120" w:line="480" w:lineRule="auto"/>
        <w:ind w:firstLine="480"/>
      </w:pPr>
      <w:r>
        <w:rPr>
          <w:rFonts w:ascii="Times New Roman" w:hAnsi="Times New Roman" w:eastAsia="MS Mincho"/>
          <w:b w:val="0"/>
          <w:i w:val="0"/>
          <w:sz w:val="24"/>
        </w:rPr>
        <w:t>* Out-of-sample MAPE: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4.3 Estimation protocol and grid search</w:t>
      </w:r>
    </w:p>
    <w:p>
      <w:pPr>
        <w:spacing w:after="120" w:line="480" w:lineRule="auto"/>
        <w:ind w:firstLine="480"/>
      </w:pPr>
      <w:r>
        <w:rPr>
          <w:rFonts w:ascii="Times New Roman" w:hAnsi="Times New Roman" w:eastAsia="MS Mincho"/>
          <w:b w:val="0"/>
          <w:i w:val="0"/>
          <w:sz w:val="24"/>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360" w:after="120" w:line="480" w:lineRule="auto"/>
      </w:pPr>
      <w:r>
        <w:rPr>
          <w:rFonts w:ascii="Times New Roman" w:hAnsi="Times New Roman" w:eastAsia="MS Mincho"/>
          <w:b/>
          <w:i w:val="0"/>
          <w:sz w:val="24"/>
        </w:rPr>
        <w:t>4.4 Bootstrap confidence intervals</w:t>
      </w:r>
    </w:p>
    <w:p>
      <w:pPr>
        <w:spacing w:after="120" w:line="480" w:lineRule="auto"/>
        <w:ind w:firstLine="480"/>
      </w:pPr>
      <w:r>
        <w:rPr>
          <w:rFonts w:ascii="Times New Roman" w:hAnsi="Times New Roman" w:eastAsia="MS Mincho"/>
          <w:b w:val="0"/>
          <w:i w:val="0"/>
          <w:sz w:val="24"/>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360" w:after="120" w:line="480" w:lineRule="auto"/>
      </w:pPr>
      <w:r>
        <w:rPr>
          <w:rFonts w:ascii="Times New Roman" w:hAnsi="Times New Roman" w:eastAsia="MS Mincho"/>
          <w:b/>
          <w:i w:val="0"/>
          <w:sz w:val="24"/>
        </w:rPr>
        <w:t>4.5 γ_price sensitivity</w:t>
      </w:r>
    </w:p>
    <w:p>
      <w:pPr>
        <w:spacing w:after="120" w:line="480" w:lineRule="auto"/>
        <w:ind w:firstLine="480"/>
      </w:pPr>
      <w:r>
        <w:rPr>
          <w:rFonts w:ascii="Times New Roman" w:hAnsi="Times New Roman" w:eastAsia="MS Mincho"/>
          <w:b w:val="0"/>
          <w:i w:val="0"/>
          <w:sz w:val="24"/>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360" w:after="120" w:line="480" w:lineRule="auto"/>
      </w:pPr>
      <w:r>
        <w:rPr>
          <w:rFonts w:ascii="Times New Roman" w:hAnsi="Times New Roman" w:eastAsia="MS Mincho"/>
          <w:b/>
          <w:i w:val="0"/>
          <w:sz w:val="28"/>
        </w:rPr>
        <w:t>5. Results</w:t>
      </w:r>
    </w:p>
    <w:p>
      <w:pPr>
        <w:spacing w:before="360" w:after="120" w:line="48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360" w:after="120" w:line="48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Figure 6 and Table 3 report the Relational PIM diagnostics defined in Section 3.5. Two findings stand out. First, under M0 (instant PIM, β = 0) the median ρ̂₂ across 39 countries is 0.801, substantially below the consistency benchmark of 1.0. Only 9 of 39 countries have ρ̂₂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ρ̂₂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Figure 6(b) plots ρ̂₁ against ρ̂₂ under M4. Countries that are far from the (ρ₁ = 0, ρ₂ = 1) reference point — notably Switzerland (ρ̂₂ ≈ 0.40), Poland (ρ̂₂ ≈ 0.60), and Norway (ρ̂₂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ρ̂₂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Inklaar's critique (§6.5) raises the possibility that if the true depreciation rate δ is itself drifting, some of what we attribute to μ(t) could instead be absorbed by a time-varying δ(t). We address this directly by re-estimating the constant lag μ̂ (M1) under five depreciation scenarios: δ × {0.80, 0.90, 1.00, 1.10, 1.20}.</w:t>
      </w:r>
    </w:p>
    <w:p>
      <w:pPr>
        <w:spacing w:after="120" w:line="480" w:lineRule="auto"/>
        <w:ind w:firstLine="480"/>
      </w:pPr>
      <w:r>
        <w:rPr>
          <w:rFonts w:ascii="Times New Roman" w:hAnsi="Times New Roman" w:eastAsia="MS Mincho"/>
          <w:b w:val="0"/>
          <w:i w:val="0"/>
          <w:sz w:val="24"/>
        </w:rPr>
        <w:t>Figure 7 shows the results. The main finding is that μ̂ is remarkably stable across the ±20% depreciation perturbation for most countries. The cross-country mean μ̂ moves from 1.61 years (δ × 0.80) to 1.52 years (δ × 1.20), a shift of only 0.09 years — less than 6% of the baseline estimate. The median μ̂ is virtually invariant at 0.26 years across all five scenarios. Countries with interior-solution μ̂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δ moves μ̂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Table 1 reports that M4 (joint tempo + intangible) achieves an out-of-sample MAPE of 4.61 %, virtually identical to M0 (4.60 %). This apparent non-improvement deserves scrutiny. Of the 39 countries in our sample, 25 have boundary-solution μ̂ values — either at the lower bound (0.01, effectively zero lag, 18 countries) or at the upper bound (6.0, 7 countries). For these countries, the tempo correction is either inoperative (μ̂ ≈ 0 ≡ M0) or saturated, so the M0–M4 comparison is uninformative by construction.</w:t>
      </w:r>
    </w:p>
    <w:p>
      <w:pPr>
        <w:spacing w:after="120" w:line="480" w:lineRule="auto"/>
        <w:ind w:firstLine="480"/>
      </w:pPr>
      <w:r>
        <w:rPr>
          <w:rFonts w:ascii="Times New Roman" w:hAnsi="Times New Roman" w:eastAsia="MS Mincho"/>
          <w:b w:val="0"/>
          <w:i w:val="0"/>
          <w:sz w:val="24"/>
        </w:rPr>
        <w:t>Figure 8 restricts the OOS evaluation to the 14 countries with interior-solution μ̂ (μ̂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measures average percentage error in GDP levels but does not capture whether models track the direction of GDP growth or the trajectory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A natural question is whether the cross-country variation in ρ̂₂ reflects observable differences in asset composition. Countries with a higher share of intangible and R&amp;D-intensive investment might be expected to show larger PIM–CWON divergences (lower ρ̂₂) if their PIM construction omits intangibles, or higher ρ̂₂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Figure 9 reports a cross-sectional OLS regression of ρ̂₂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(β)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The cross-sectional R² remains modest (13 %), reflecting the many other sources of PIM–CWON divergence (land-price revaluations, natural-resource rents, differences in asset-life assumptions). The result should therefore be read as suggestive rather than conclusive: ρ̂₂ is not random noise but reflects, in part, observable asset-composition differences across countries. This provides indirect engagement with the asset-specific profiles that a single-asset PIM cannot directly model, and points toward a natural extension in which ρ̂₂ is decomposed by asset class as multi-asset PIM data become available.</w:t>
      </w:r>
    </w:p>
    <w:p>
      <w:pPr>
        <w:spacing w:before="360" w:after="120" w:line="480" w:lineRule="auto"/>
      </w:pPr>
      <w:r>
        <w:rPr>
          <w:rFonts w:ascii="Times New Roman" w:hAnsi="Times New Roman" w:eastAsia="MS Mincho"/>
          <w:b/>
          <w:i w:val="0"/>
          <w:sz w:val="28"/>
        </w:rPr>
        <w:t>6. Discussion</w:t>
      </w:r>
    </w:p>
    <w:p>
      <w:pPr>
        <w:spacing w:after="120" w:line="480" w:lineRule="auto"/>
        <w:ind w:firstLine="480"/>
      </w:pPr>
      <w:r>
        <w:rPr>
          <w:rFonts w:ascii="Times New Roman" w:hAnsi="Times New Roman" w:eastAsia="MS Mincho"/>
          <w:b w:val="0"/>
          <w:i w:val="0"/>
          <w:sz w:val="24"/>
        </w:rPr>
        <w:t>We now step back from the technical results and consider what a time-varying μ(t) and a nonzero β mean for four active debates in economic measurement.</w:t>
      </w:r>
    </w:p>
    <w:p>
      <w:pPr>
        <w:spacing w:before="360" w:after="120" w:line="480" w:lineRule="auto"/>
      </w:pPr>
      <w:r>
        <w:rPr>
          <w:rFonts w:ascii="Times New Roman" w:hAnsi="Times New Roman" w:eastAsia="MS Mincho"/>
          <w:b/>
          <w:i w:val="0"/>
          <w:sz w:val="24"/>
        </w:rPr>
        <w:t>6.1 Re-interpreting the Solow residual</w:t>
      </w:r>
    </w:p>
    <w:p>
      <w:pPr>
        <w:spacing w:after="120" w:line="480" w:lineRule="auto"/>
        <w:ind w:firstLine="480"/>
      </w:pPr>
      <w:r>
        <w:rPr>
          <w:rFonts w:ascii="Times New Roman" w:hAnsi="Times New Roman" w:eastAsia="MS Mincho"/>
          <w:b w:val="0"/>
          <w:i w:val="0"/>
          <w:sz w:val="24"/>
        </w:rPr>
        <w:t>The standard Solow decomposition attributes the residual to TFP.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6.2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At the most conservative level, the results of Section 5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360" w:after="120" w:line="480" w:lineRule="auto"/>
      </w:pPr>
      <w:r>
        <w:rPr>
          <w:rFonts w:ascii="Times New Roman" w:hAnsi="Times New Roman" w:eastAsia="MS Mincho"/>
          <w:b/>
          <w:i w:val="0"/>
          <w:sz w:val="24"/>
        </w:rPr>
        <w:t>6.3 Flow–stock reconciliation and Beyond-GDP</w:t>
      </w:r>
    </w:p>
    <w:p>
      <w:pPr>
        <w:spacing w:after="120" w:line="480" w:lineRule="auto"/>
        <w:ind w:firstLine="480"/>
      </w:pPr>
      <w:r>
        <w:rPr>
          <w:rFonts w:ascii="Times New Roman" w:hAnsi="Times New Roman" w:eastAsia="MS Mincho"/>
          <w:b w:val="0"/>
          <w:i w:val="0"/>
          <w:sz w:val="24"/>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480" w:lineRule="auto"/>
        <w:ind w:firstLine="480"/>
      </w:pPr>
      <w:r>
        <w:rPr>
          <w:rFonts w:ascii="Times New Roman" w:hAnsi="Times New Roman" w:eastAsia="MS Mincho"/>
          <w:b w:val="0"/>
          <w:i w:val="0"/>
          <w:sz w:val="24"/>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360" w:after="120" w:line="480" w:lineRule="auto"/>
      </w:pPr>
      <w:r>
        <w:rPr>
          <w:rFonts w:ascii="Times New Roman" w:hAnsi="Times New Roman" w:eastAsia="MS Mincho"/>
          <w:b/>
          <w:i w:val="0"/>
          <w:sz w:val="24"/>
        </w:rPr>
        <w:t>6.4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6.5 Limitations</w:t>
      </w:r>
    </w:p>
    <w:p>
      <w:pPr>
        <w:spacing w:after="120" w:line="480" w:lineRule="auto"/>
        <w:ind w:firstLine="480"/>
      </w:pPr>
      <w:r>
        <w:rPr>
          <w:rFonts w:ascii="Times New Roman" w:hAnsi="Times New Roman" w:eastAsia="MS Mincho"/>
          <w:b w:val="0"/>
          <w:i w:val="0"/>
          <w:sz w:val="24"/>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360" w:after="120" w:line="480" w:lineRule="auto"/>
      </w:pPr>
      <w:r>
        <w:rPr>
          <w:rFonts w:ascii="Times New Roman" w:hAnsi="Times New Roman" w:eastAsia="MS Mincho"/>
          <w:b/>
          <w:i w:val="0"/>
          <w:sz w:val="28"/>
        </w:rPr>
        <w:t>7.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the two accounts come back into agreement to within 1–2 % for most advanced economies, the out-of-sample accuracy of GDP level forecasts improves by 13 %, and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val="0"/>
          <w:i w:val="0"/>
          <w:sz w:val="24"/>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Table 3. Relational PIM diagnostics: ρ̂₂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4.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360" w:after="120" w:line="480" w:lineRule="auto"/>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