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July 14, 2026</w:t>
      </w:r>
    </w:p>
    <w:p/>
    <w:p>
      <w:r>
        <w:t>Professor Kouji H. Harada, PhD, MPH</w:t>
      </w:r>
    </w:p>
    <w:p>
      <w:r>
        <w:t>Editor-in-Chief</w:t>
      </w:r>
    </w:p>
    <w:p>
      <w:r>
        <w:t>Environmental Health and Preventive Medicine</w:t>
      </w:r>
    </w:p>
    <w:p/>
    <w:p>
      <w:r>
        <w:t>Re: Second revision of manuscript EHPM-D-26-00106R1</w:t>
      </w:r>
    </w:p>
    <w:p/>
    <w:p>
      <w:r>
        <w:t>Dear Professor Harada,</w:t>
      </w:r>
    </w:p>
    <w:p/>
    <w:p>
      <w:r>
        <w:t>Thank you for the opportunity to submit a second revision of our manuscript entitled "Evaluating Healthcare Expenditure Sustainability in Japan: A Dual-Return Framework Integrating Input-Output Multipliers, Health-Capital Tempo, and Diagnostic Equipment Stock with Cross-Country Benchmarking". The second-round reviews raised two central issues -- the reproducibility of the tempo model-selection statistics (Reviewer 1) and the treatment of deficit financing together with the internal consistency of our interpretation (Reviewer 2). In addressing Reviewer 1's reproducibility concern we identified and corrected a genuine error in the previously reported tempo results, which we describe transparently below and in the Response to Reviewers.</w:t>
      </w:r>
    </w:p>
    <w:p/>
    <w:p>
      <w:r>
        <w:t>Major revisions in this round include:</w:t>
      </w:r>
    </w:p>
    <w:p>
      <w:r>
        <w:t xml:space="preserve">• </w:t>
      </w:r>
      <w:r>
        <w:t>Reproducibility: the tempo model-selection statistics (level RMSE, change RMSE, LOOCV RMSE, AIC, BIC) are now computed by executable code from public World Bank data and released in a repository that corresponds directly to this manuscript, superseding the earlier minimum proof-of-concept (Reviewer 1).</w:t>
      </w:r>
    </w:p>
    <w:p>
      <w:r>
        <w:t xml:space="preserve">• </w:t>
      </w:r>
      <w:r>
        <w:t>Correction: recomputation on the correct 2000-2019 pre-pandemic period showed the previously reported values had been generated from a 2000-2023 sample that included the COVID-19 mortality shock. Table 3 and all dependent text now use the corrected values; the robust finding (a constant spending-to-outcome lag; M1 beats M0 by AIC/BIC/LOOCV in 64%/64%/69%) is unchanged in direction (Reviewer 1).</w:t>
      </w:r>
    </w:p>
    <w:p>
      <w:r>
        <w:t xml:space="preserve">• </w:t>
      </w:r>
      <w:r>
        <w:t>Withdrawal: the previously claimed +0.15 yr/yr time-varying tempo drift is withdrawn; the time-varying model (M2) is not favoured over the constant-lag model (M1) by AIC or BIC (0%/0%) and is now reported as exploratory (Reviewer 1).</w:t>
      </w:r>
    </w:p>
    <w:p>
      <w:r>
        <w:t xml:space="preserve">• </w:t>
      </w:r>
      <w:r>
        <w:t>Deficit financing in Results: a new Results subsection and figure (Figure 4) present a deficit-adjusted fiscal-return ratio; for Japan the import-leakage-adjusted ratio falls from 1.04 to 0.67 once 35% deficit financing is accounted for, and Table 2 now reports a deficit-adjusted column for all countries (Reviewer 2).</w:t>
      </w:r>
    </w:p>
    <w:p>
      <w:r>
        <w:t xml:space="preserve">• </w:t>
      </w:r>
      <w:r>
        <w:t>Consistent interpretation: the Abstract, Results, Discussion, and Conclusions now state a single, consistent position -- the economic return is material and near break-even, robust in direction, but not by itself proof of unconditional self-financing under conservative (value-added, deficit-adjusted) treatments -- rather than self-undermining caution (Reviewer 2).</w:t>
      </w:r>
    </w:p>
    <w:p/>
    <w:p>
      <w:r>
        <w:t>A detailed point-by-point response to each reviewer comment is provided in the accompanying 'Response to Reviewers' document. All changes are indicated in the revised manuscript.</w:t>
      </w:r>
    </w:p>
    <w:p/>
    <w:p>
      <w:r>
        <w:t>We confirm that no part of this research was funded or supported by firms or organizations related to the tobacco industry.</w:t>
      </w:r>
    </w:p>
    <w:p/>
    <w:p>
      <w:r>
        <w:t>Thank you for your consideration.</w:t>
      </w:r>
    </w:p>
    <w:p/>
    <w:p>
      <w:r>
        <w:t>Sincerely,</w:t>
      </w:r>
    </w:p>
    <w:p/>
    <w:p>
      <w:r>
        <w:t>Tatsuki Onishi</w:t>
      </w:r>
    </w:p>
    <w:p>
      <w:r>
        <w:t>[Affiliation]</w:t>
      </w:r>
    </w:p>
    <w:p>
      <w:r>
        <w:t>[E-mail]</w:t>
      </w:r>
    </w:p>
    <w:p/>
    <w:p>
      <w:r>
        <w:rPr>
          <w:b/>
          <w:color w:val="FF0000"/>
        </w:rPr>
        <w:t>REMINDER: Enter discount code EHPM-JSH-R26K during APC Agreement stage on Editorial Manager submission.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