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Healthcare Expenditure Sustainability in Japan: A Dual-Return Framework Integrating Input-Output Multipliers, Health-Capital Tempo, and Diagnostic Equipment Stock with Cross-Country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I-O Sustainability</w:t>
      </w:r>
    </w:p>
    <w:p/>
    <w:p>
      <w:r>
        <w:rPr>
          <w:b/>
        </w:rPr>
        <w:t xml:space="preserve">Total word count: </w:t>
      </w:r>
      <w:r>
        <w:t>approximately 7,800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and supply-side returns are rarely quantified together. This study evaluates the sustainability of Japan's healthcare expenditure through a dual-return framework integrating input-output (I-O) multipliers, health-capital tempo effects, and diagnostic equipment stock valuation, with cross-country benchmarking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A self-contained tempo model (39 countries, 2000-2019) captured supply-side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For Japan the ratio fell from 1.09 (gross) to 1.04 after import-leakage adjustment, to 0.67 when the return was discounted for 35% deficit financing, and to 0.60 under value-added multipliers, bracketing break-even from above and below. Reducing equipment density to the OECD average lowered the gross ratio to 0.98 (sensitivity range 0.94-1.02 for equipment share 5-25%). The tempo model, recomputed from public World Bank data (2000-2019), confirmed a spending-to-outcome lag: the constant-lag model (M1) improved level-prediction RMSE over the flow-only model (M0) from 0.253 to 0.208 years and LOOCV RMSE from 0.304 to 0.250, and was favoured over M0 by AIC, BIC, and LOOCV in 64%, 64%, and 69% of countries. The time-varying extension (M2) did not improve on M1 under AIC or BIC (0% and 0%), so no stable time-varying drift was supported.</w:t>
      </w:r>
    </w:p>
    <w:p>
      <w:r>
        <w:rPr>
          <w:b/>
        </w:rPr>
        <w:t xml:space="preserve">Conclusions: </w:t>
      </w:r>
      <w:r>
        <w:t>Japan's healthcare expenditure is a fiscally material economic sector: on the demand side alone it recovers a substantial share of public cost through induced taxation -- 109% under the gross output multiplier and 60% even under the most conservative value-added treatment. The direction of this finding -- that healthcare is not a pure fiscal cost but carries an economic return of a magnitude comparable to other discretionary fiscal expenditures -- is robust across every treatment (multiplier type, import leakage, and deficit financing). That the ratio falls below 1.0 under conservative treatments does not negate this economic value; it quantifies the limit that the demand-side return alone does not achieve full tax-based self-financing, and should be read together with the supply-side health-capital return (a genuine, though not time-varying, spending-to-outcome lag). The policy implication is clear: healthcare expenditure should not be treated solely as a cost to be contained, and its economic return should be formally incorporated into fiscal evaluation, with deficit-financing dependence, over-supply risk, and workforce constraints assessed as conditions on the sustainability of that return rather than as grounds for dismissing it.</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sustainability of Japan's healthcare expenditure from a neutral standpoint as both cost and economic effect, using a dual-return framework integrating demand-side I-O multipliers and supply-side health-capital tempo effects,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captures supply-side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proposed a dual-return framework to evaluate the sustainability of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2.0 years. However, the time-varying extension (M2 vs M1) yielded no improvement once the additional parameter was penalized (M2 was favoured over M1 in 0% of countries by both AIC and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model's time-varying component (M2) does not robustly survive parsimony-aware model selection. Finally, this study focused on demand-side fiscal return; comprehensive sustainability assessment requires incorporating supply-side health-capital returns, which requires individual-level data.</w:t>
      </w:r>
    </w:p>
    <w:p>
      <w:pPr>
        <w:pStyle w:val="Heading1"/>
      </w:pPr>
      <w:r>
        <w:t>Conclusions</w:t>
      </w:r>
    </w:p>
    <w:p>
      <w:r>
        <w:t>Japan's healthcare expenditure is a fiscally material economic sector, not merely a cost to be contained.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 direction of this finding -- that healthcare carries an economic return of a magnitude comparable to other discretionary fiscal expenditures -- is robust across all four treatments; the conservative variants that fall below 1.0 do not negate the economic value but bound it, quantifying the extent to which the demand-side return alone falls short of full tax-based self-financing.</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economic return should be formally incorporated into fiscal evaluation rather than disregarded. The direction of interpretation is consistent and robust: the return is material on the demand side and is complemented by a genuine supply-side health-capital lag. Deficit-financing dependence, over-supply risk, workforce constraints, and the age-specific structure of spending are best understood as conditions on the sustainability of that return -- the axes along which it must be secured -- rather than as grounds for dismissing the economic value that the analysis establishes.</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Dual-return framework schematic.</w:t>
      </w:r>
    </w:p>
    <w:p/>
    <w:p>
      <w:r>
        <w:t>Conceptual diagram of the dual-return framework. Healthcare spending generates demand-side returns via I-O multipliers (tax revenue recovery) and supply-side returns via health-capital stock accumulation.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