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(17.7%) and twin (17.0%) groups (adjusted odds ratio [aOR] 0.92, 95% confidence interval [CI] 0.67–1.27, P = 0.624). In contrast, under the narrow definition (5-HT3 antagonists), IONV was significantly higher in the twin group (2.3% vs 0.9%; aOR 3.18, 95% CI 1.38–7.36, P = 0.007). This finding was robust across covariate sensitivity analyses, emergency subgroup stratification, and 10,000-replicate stratified bootstrap validation.</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This suggests that more severe IONV may occur in twin pregnancies during cesarean delivery.</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The principal mechanisms of IONV include: (1) hypotension resulting from sympathetic blockade during spinal anesthesia; (2) gut hypoperfusion and serotonin release due to redistribution of circulating blood volume; (3) unopposed vagal activity under sympathetic blockade; (4) visceral stimulation from uterine manipulation and peritoneal traction; and (5) uterotonic (oxytocin) administration</w:t>
      </w:r>
      <w:r>
        <w:rPr>
          <w:sz w:val="16"/>
          <w:vertAlign w:val="superscript"/>
        </w:rPr>
        <w:t>2,12</w:t>
      </w:r>
      <w:r>
        <w:t>.</w:t>
      </w:r>
    </w:p>
    <w:p>
      <w:r>
        <w:t>Twin pregnancies possess physiological characteristics that may amplify each of these mechanisms. Compared with singleton pregnancies, twins are associated with an approximately 400 mL greater increase in circulating blood volume, as well as greater increases in heart rate, stroke volume, and cardiac index</w:t>
      </w:r>
      <w:r>
        <w:rPr>
          <w:sz w:val="16"/>
          <w:vertAlign w:val="superscript"/>
        </w:rPr>
        <w:t>13</w:t>
      </w:r>
      <w:r>
        <w:t>. Moreover, aortocaval compression by the larger uterus is more frequent and severe in twin pregnancies, and this effect is exacerbated by neuraxial anesthesia, predisposing to profound hypotension</w:t>
      </w:r>
      <w:r>
        <w:rPr>
          <w:sz w:val="16"/>
          <w:vertAlign w:val="superscript"/>
        </w:rPr>
        <w:t>9,13</w:t>
      </w:r>
      <w:r>
        <w:t>. These observations suggest that twin pregnancy may theoretically increase the risk of IONV.</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delivery or from delivery to leaving the operating room. The following seven agents were included: metoclopramide, droperidol, ondansetron, granisetron, novamin (prochlorperazine), hydroxyzine (Atarax-P), and dexamethasone.</w:t>
        <w:br/>
        <w:t>Secondary outcome: IONV was defined as antiemetic administration from anesthesia induction to delivery only.</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r>
        <w:t>Among the 342 twin pregnancies, chorionicity was dichorionic-diamniotic (DD) in 212, monochorionic-diamniotic (MD) in 127, and monochorionic-monoamniotic (MM) in 3. By urgency, 221 (64.6%) were elective and 121 (35.4%) were emergency cesarean deliveries.</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Continuous variables are presented as median [interquartile range]. Categorical variables are presented as n/N (%). Continuous variables were compared using the Mann-Whitney U test; categorical variables were compared using Pearson’s χ² test (or Fisher’s exact test when any expected cell count was &lt;5).</w:t>
      </w:r>
    </w:p>
    <w:p/>
    <w:p>
      <w:pPr>
        <w:pStyle w:val="Heading2"/>
      </w:pPr>
      <w:r>
        <w:rPr>
          <w:color w:val="000000"/>
        </w:rPr>
        <w:t>IONV Incidence (STROBE Item 16)</w:t>
      </w:r>
    </w:p>
    <w:p>
      <w:r>
        <w:t>Under the broad definition, the primary-outcome IONV rate was 17.7% (504/2,846) in the singleton group and 17.0% (58/342) in the twin group (Table 2, Fig. 2).</w:t>
      </w:r>
    </w:p>
    <w:p>
      <w:r>
        <w:t>Under the narrow definition (5-HT3 antagonists), the IONV rate was 0.9% (25/2,846) in the singleton group and 2.3% (8/342)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Broad, Secondary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Narrow, Primary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Narrow, Secondary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0.92, 95% CI 0.67–1.27, P = 0.624).</w:t>
      </w:r>
    </w:p>
    <w:p>
      <w:r>
        <w:t>Under the narrow definition, only 33 events were observed, necessitating the use of a reduced model. Twin pregnancy was significantly associated with 5-HT3 antagonist use (aOR 3.18, 95% CI 1.38–7.36, P = 0.007) (Fig.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18 models, the aOR for twin pregnancy ranged from 2.56 to 3.67, and 18/18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21.9% vs twin 14.7%; aOR 0.65, P = 0.086). Under the narrow definition, IONV remained significantly higher in the twin group (singleton 0.4% vs twin 3.3%; aOR 13.59, 95% CI 1.74–106.04, P = 0.013)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Broad, Secondary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Narrow, Primary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Narrow, Secondary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8.99, 95% CI 2.50–32.29, P &lt; 0.001), and the narrow-definition secondary outcome also reached significance (aOR 8.39, 95% CI 1.21–58.18, P = 0.031). In contrast, among emergency cases, the twin effect was entirely absent (narrow primary aOR 0.95, P = 0.958).</w:t>
      </w:r>
    </w:p>
    <w:p>
      <w:r>
        <w:t>Notably, under the broad definition in elective cases, the twin group showed significantly lower IONV (18.5% vs 14.0%; aOR 0.64, P = 0.047). Interaction analysis revealed a significant emergency × twin interaction for the broad primary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Broad, Secondary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Narrow, Primary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Narrow, Secondary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Emergency only</w:t>
            </w:r>
          </w:p>
        </w:tc>
        <w:tc>
          <w:tcPr>
            <w:tcW w:type="dxa" w:w="1234"/>
          </w:tcPr>
          <w:p>
            <w:r>
              <w:rPr>
                <w:sz w:val="16"/>
              </w:rPr>
              <w:t>Broad, Primary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Broad, Secondary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Narrow, Primary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Narrow, Secondary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[1.23–7.01], closely matching the Wald 95% CI [1.38–7.36]. The bootstrap CI also excluded 1, confirming that the significant twin effect (aOR 3.18) was robust (convergence rate 100.0%).</w:t>
      </w:r>
    </w:p>
    <w:p>
      <w:r>
        <w:t>In the low-risk subgroup, event counts for the narrow definition were extremely small (primary: 8; secondary: 4),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Narrow, Secondary</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Low-risk</w:t>
            </w:r>
          </w:p>
        </w:tc>
        <w:tc>
          <w:tcPr>
            <w:tcW w:type="dxa" w:w="1440"/>
          </w:tcPr>
          <w:p>
            <w:r>
              <w:rPr>
                <w:sz w:val="16"/>
              </w:rPr>
              <w:t>Broad, Primary</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Narrow, Secondary</w:t>
            </w:r>
          </w:p>
        </w:tc>
        <w:tc>
          <w:tcPr>
            <w:tcW w:type="dxa" w:w="1440"/>
          </w:tcPr>
          <w:p>
            <w:r>
              <w:rPr>
                <w:sz w:val="16"/>
              </w:rPr>
              <w:t>14.14</w:t>
            </w:r>
          </w:p>
        </w:tc>
        <w:tc>
          <w:tcPr>
            <w:tcW w:type="dxa" w:w="1440"/>
          </w:tcPr>
          <w:p>
            <w:r>
              <w:rPr>
                <w:sz w:val="16"/>
              </w:rPr>
              <w:t>0.72–277.39</w:t>
            </w:r>
          </w:p>
        </w:tc>
        <w:tc>
          <w:tcPr>
            <w:tcW w:type="dxa" w:w="1440"/>
          </w:tcPr>
          <w:p>
            <w:r>
              <w:rPr>
                <w:sz w:val="16"/>
              </w:rPr>
              <w:t>Unstable</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Most prior studies on IONV during cesarean delivery were prospective in design and recorded the occurrence of nausea and vomiting through patient self-report or direct intraoperative observation</w:t>
      </w:r>
      <w:r>
        <w:rPr>
          <w:sz w:val="16"/>
          <w:vertAlign w:val="superscript"/>
        </w:rPr>
        <w:t>3-6,7,9-11</w:t>
      </w:r>
      <w:r>
        <w:t>. In contrast, our retrospective design precluded direct assessment of subjective nausea or its severity; instead, we used the fact of antiemetic dispensing as a surrogate for IONV. This approach cannot exclude the possibility that antiemetics were administered for indications other than IONV (e.g., opioid-induced pruritus prophylaxis, gastrointestinal motility promotion). However, the narrow definition restricted to 5-HT3 receptor antagonists — agents with high pharmacological specificity for nausea and vomiting — minimized this confounding effect. Although the surrogate-marker approach is unique to the present study, George et al.</w:t>
      </w:r>
      <w:r>
        <w:rPr>
          <w:sz w:val="16"/>
          <w:vertAlign w:val="superscript"/>
        </w:rPr>
        <w:t>10</w:t>
      </w:r>
      <w:r>
        <w:t xml:space="preserve"> reported rescue antiemetic administration as a secondary outcome of IONV, supporting the relevance of antiemetic use as an IONV-related endpoint.</w:t>
      </w:r>
    </w:p>
    <w:p>
      <w:r>
        <w:t>Second, the number of events for the narrow definition was small (primary analysis: 33; subgroup analysis: 8), resulting in wide confidence intervals. Bootstrap validation confirmed the robustness of the full-cohort aOR 3.18 but the subgroup bootstrap CIs (8 events) were unstable. In particular, the subgroup analysis involved a substantial reduction in sample size (3,188 → 663), limiting external validity.</w:t>
      </w:r>
    </w:p>
    <w:p>
      <w:r>
        <w:t>Third, this was a single-center study, and multicenter studies are needed to confirm generalizability.</w:t>
      </w:r>
    </w:p>
    <w:p>
      <w:r>
        <w:t>Fourth, the inability to assess the severity of IONV is a limitation. Some prior studies reported intraoperative nausea and vomiting as separate outcomes</w:t>
      </w:r>
      <w:r>
        <w:rPr>
          <w:sz w:val="16"/>
          <w:vertAlign w:val="superscript"/>
        </w:rPr>
        <w:t>5</w:t>
      </w:r>
      <w:r>
        <w:t>, but this distinction is not possible with our antiemetic-based definition. While the hypothesis that 5-HT3 antagonist use reflects more severe IONV is plausible, prospective studies are needed to confirm the association between IONV severity and the choice of antiemetic agent.</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Prior studies defined IONV by the presence or absence of nausea and vomiting through direct measurement</w:t>
      </w:r>
      <w:r>
        <w:rPr>
          <w:sz w:val="16"/>
          <w:vertAlign w:val="superscript"/>
        </w:rPr>
        <w:t>3-7,9-11</w:t>
      </w:r>
      <w:r>
        <w:t>, whereas the present study used antiemetic administration as a surrogate marker. This approach may have selectively captured ‘IONV requiring treatment’ — a dimension not assessed in prior work.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principal mechanisms of IONV are hypotension, vagal activity, and visceral stimulation</w:t>
      </w:r>
      <w:r>
        <w:rPr>
          <w:sz w:val="16"/>
          <w:vertAlign w:val="superscript"/>
        </w:rPr>
        <w:t>2,12</w:t>
      </w:r>
      <w:r>
        <w:t>, and twin pregnancy amplifies all of these through greater circulating blood volume, enhanced aortocaval compression, and reduced cardiac reserve</w:t>
      </w:r>
      <w:r>
        <w:rPr>
          <w:sz w:val="16"/>
          <w:vertAlign w:val="superscript"/>
        </w:rPr>
        <w:t>13</w:t>
      </w:r>
      <w:r>
        <w:t>. The present cohort of 3,188 cases including 342 twins represents the largest study to directly examine IONV in twin pregnancies, and these findings may contribute to elucidating the mechanisms of IONV. The observation that differences emerged only under the narrow (5-HT3 antagonist) definition, but not the broad definition, suggests that the ‘quality’ (severity and treatment necessity) rather than the ‘quantity’ of IONV may differ in twins. The persistence of the twin effect after adjusting for hypotension as a covariate suggests involvement of pathways beyond hypotension, such as serotonin release from gut hypoperfusion or enhanced visceral stimulation.</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aOR increased substantially to 8.99 and the secondary outcome also reached significance. In contrast, among emergency cases the twin effect was completely absent. A significant emergency × twin interaction for the broad primary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The present cohort including 342 twin cases provides the largest dataset to directly examine IONV in twin pregnancies, in contrast to prior studies that systematically excluded twins</w:t>
      </w:r>
      <w:r>
        <w:rPr>
          <w:sz w:val="16"/>
          <w:vertAlign w:val="superscript"/>
        </w:rPr>
        <w:t>9-11</w:t>
      </w:r>
      <w:r>
        <w:t>. However, antiemetic prescribing patterns may vary across institutions and eras, and caution is warranted in extrapolating these results. Future prospective multicenter studies are warranted to elucidate the mechanisms of IONV in twin pregnancies.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