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color w:val="006699"/>
          <w:sz w:val="24"/>
        </w:rPr>
        <w:t>Perspective</w:t>
      </w:r>
    </w:p>
    <w:p>
      <w:pPr>
        <w:spacing w:after="240" w:before="480" w:line="360" w:lineRule="auto"/>
        <w:jc w:val="both"/>
      </w:pPr>
      <w:r>
        <w:rPr>
          <w:b/>
          <w:sz w:val="32"/>
        </w:rPr>
        <w:t>The Invisible Variables: Uncontrolled Environmental Factors in Stem Cell Differentiation and the Fiscal-Year Artifact in Public Databases</w:t>
      </w:r>
    </w:p>
    <w:p>
      <w:pPr>
        <w:spacing w:after="480" w:before="0" w:line="360" w:lineRule="auto"/>
        <w:jc w:val="both"/>
      </w:pPr>
      <w:r>
        <w:rPr>
          <w:i/>
          <w:sz w:val="20"/>
        </w:rPr>
        <w:t>[Author names and affiliations to be added]</w:t>
      </w:r>
    </w:p>
    <w:p>
      <w:pPr>
        <w:pStyle w:val="Heading2"/>
      </w:pPr>
      <w:r>
        <w:rPr>
          <w:color w:val="000000"/>
        </w:rPr>
        <w:t>Highlights</w:t>
      </w:r>
    </w:p>
    <w:p>
      <w:pPr>
        <w:pStyle w:val="ListBullet"/>
        <w:spacing w:after="120" w:before="0" w:line="276" w:lineRule="auto"/>
        <w:jc w:val="both"/>
      </w:pPr>
      <w:r>
        <w:rPr>
          <w:sz w:val="20"/>
        </w:rPr>
        <w:t>PSCs are several-fold more sensitive to environmental perturbations than somatic cells</w:t>
      </w:r>
    </w:p>
    <w:p>
      <w:pPr>
        <w:pStyle w:val="ListBullet"/>
        <w:spacing w:after="120" w:before="0" w:line="276" w:lineRule="auto"/>
        <w:jc w:val="both"/>
      </w:pPr>
      <w:r>
        <w:rPr>
          <w:sz w:val="20"/>
        </w:rPr>
        <w:t>Humidity, VOCs, light, and EMF remain unmonitored in most stem cell laboratories</w:t>
      </w:r>
    </w:p>
    <w:p>
      <w:pPr>
        <w:pStyle w:val="ListBullet"/>
        <w:spacing w:after="120" w:before="0" w:line="276" w:lineRule="auto"/>
        <w:jc w:val="both"/>
      </w:pPr>
      <w:r>
        <w:rPr>
          <w:sz w:val="20"/>
        </w:rPr>
        <w:t>GEO database seasonality is a Japan fiscal-year artifact, not a biological signal</w:t>
      </w:r>
    </w:p>
    <w:p>
      <w:pPr>
        <w:pStyle w:val="ListBullet"/>
        <w:spacing w:after="120" w:before="0" w:line="276" w:lineRule="auto"/>
        <w:jc w:val="both"/>
      </w:pPr>
      <w:r>
        <w:rPr>
          <w:sz w:val="20"/>
        </w:rPr>
        <w:t>Prospective multi-parameter environmental monitoring is urgently needed</w:t>
      </w:r>
    </w:p>
    <w:p>
      <w:pPr>
        <w:spacing w:after="120" w:before="240" w:line="360" w:lineRule="auto"/>
        <w:jc w:val="both"/>
      </w:pPr>
      <w:r>
        <w:rPr>
          <w:b/>
          <w:sz w:val="20"/>
        </w:rPr>
        <w:t xml:space="preserve">eTOC blurb: </w:t>
      </w:r>
      <w:r>
        <w:rPr>
          <w:sz w:val="20"/>
        </w:rPr>
        <w:t>This Perspective argues that pluripotent stem cell laboratories control temperature and CO₂ but leave multiple environment variables unmonitored. Analysis of 6,101 GEO datasets reveals that apparent seasonality in stem cell research output is driven by Japan's fiscal year-end, not biology. The authors propose systematic environmental profiling to improve differentiation reproducibility.</w:t>
      </w:r>
    </w:p>
    <w:p>
      <w:pPr>
        <w:pStyle w:val="Heading2"/>
      </w:pPr>
      <w:r>
        <w:rPr>
          <w:color w:val="000000"/>
        </w:rPr>
        <w:t>Summary</w:t>
      </w:r>
    </w:p>
    <w:p>
      <w:pPr>
        <w:spacing w:after="120" w:before="0" w:line="360" w:lineRule="auto"/>
        <w:jc w:val="both"/>
      </w:pPr>
      <w:r>
        <w:rPr>
          <w:sz w:val="22"/>
        </w:rPr>
        <w:t>Despite stringent control of temperature and CO₂, pluripotent stem cell (PSC) differentiation remains plagued by unexplained batch-to-batch variability. Here we argue that multiple environmental variables—humidity, volatile organic compounds (VOCs), ambient light, and electromagnetic fields (EMF)—remain unmonitored in most laboratories and may constitute controllable sources of variation. We present evidence that PSCs are uniquely vulnerable to such perturbations: iPSCs show several-fold greater chemical sensitivity than somatic cells, and osmotic stress suffices to alter chromatin state and accelerate differentiation. To test whether seasonal environmental variation leaves a detectable footprint in research output, we analyzed 6,101 GEO PSC datasets. A natural experiment using geographic variation in academic year starts reveals that the apparent March peak is an institutional artifact of Japan's fiscal year-end, not a biological signal. We propose that prospective multi-parameter environmental monitoring—not database mining—is the path to identifying which invisible variables matter.</w:t>
      </w:r>
    </w:p>
    <w:p>
      <w:pPr>
        <w:pStyle w:val="Heading2"/>
      </w:pPr>
      <w:r>
        <w:rPr>
          <w:color w:val="000000"/>
        </w:rPr>
        <w:t>The Reproducibility Crisis Has an Environmental Blind Spot</w:t>
      </w:r>
    </w:p>
    <w:p>
      <w:pPr>
        <w:spacing w:after="120" w:before="0" w:line="360" w:lineRule="auto"/>
        <w:jc w:val="both"/>
      </w:pPr>
      <w:r>
        <w:rPr>
          <w:sz w:val="22"/>
        </w:rPr>
        <w:t>Pluripotent stem cell (PSC)-derived therapies are advancing rapidly toward clinical application, with over 115 trials and 1,200 patients dosed as of 2024.</w:t>
      </w:r>
      <w:r>
        <w:rPr>
          <w:sz w:val="18"/>
          <w:vertAlign w:val="superscript"/>
        </w:rPr>
        <w:t>1</w:t>
      </w:r>
      <w:r>
        <w:rPr>
          <w:sz w:val="22"/>
        </w:rPr>
        <w:t xml:space="preserve"> Yet differentiation protocols remain notoriously variable across laboratories and even between batches within a single group.</w:t>
      </w:r>
      <w:r>
        <w:rPr>
          <w:sz w:val="18"/>
          <w:vertAlign w:val="superscript"/>
        </w:rPr>
        <w:t>2-5</w:t>
      </w:r>
      <w:r>
        <w:rPr>
          <w:sz w:val="22"/>
        </w:rPr>
        <w:t xml:space="preserve"> The field has invested enormously in optimizing controllable recipe variables—growth factors, small molecules, extracellular matrices, and timing—while largely ignoring the kitchen in which these recipes are executed.</w:t>
      </w:r>
    </w:p>
    <w:p>
      <w:pPr>
        <w:spacing w:after="120" w:before="0" w:line="360" w:lineRule="auto"/>
        <w:jc w:val="both"/>
      </w:pPr>
      <w:r>
        <w:rPr>
          <w:sz w:val="22"/>
        </w:rPr>
        <w:t>Consider an analogy from artisanal baking. For decades, bread quality varied unpredictably between batches until industrial bakeries recognized that controlling only oven temperature was insufficient; ambient humidity, dough temperature during proofing, and air quality were equally critical. Today's PSC laboratory resembles the pre-industrial bakery: we control incubator temperature (37°C) and CO₂ (5%) but leave humidity, volatile organic compounds (VOCs), ambient light, electromagnetic fields (EMF), and barometric pressure entirely unmonitored. This Perspective argues that these 'invisible variables' may constitute a significant and correctable source of differentiation variability.</w:t>
      </w:r>
    </w:p>
    <w:p>
      <w:pPr>
        <w:spacing w:after="120" w:before="0" w:line="360" w:lineRule="auto"/>
        <w:jc w:val="both"/>
      </w:pPr>
      <w:r>
        <w:rPr>
          <w:sz w:val="22"/>
        </w:rPr>
        <w:t>A deeper methodological issue compounds the problem. Research using clonal systems—isogenic cell lines, inbred mice, genetically identical iPSC clones—operates under the implicit assumption that genetic homogeneity renders complex confounding adjustment unnecessary. Because the genetic background is 'controlled,' investigators rarely apply the stratification, regression, or sensitivity analyses that epidemiologists would consider mandatory for observational data. This creates a blind spot: non-genetic confounders (environmental, institutional, temporal) are neither measured nor adjusted for, because the clonal paradigm implies they should not exist. Our analysis reveals that they do exist—and that aggregate data from clonal systems can be just as non-homogeneous and confounded as observational cohort data when institutional and environmental variation is ignored.</w:t>
      </w:r>
    </w:p>
    <w:p>
      <w:pPr>
        <w:spacing w:after="120" w:before="0" w:line="360" w:lineRule="auto"/>
        <w:jc w:val="both"/>
      </w:pPr>
      <w:r>
        <w:rPr>
          <w:sz w:val="22"/>
        </w:rPr>
        <w:t>The scale of the problem is not trivial. Multi-site reproducibility studies consistently report substantial inter-laboratory variation in PSC differentiation outcomes even when nominally identical protocols are followed.</w:t>
      </w:r>
      <w:r>
        <w:rPr>
          <w:sz w:val="18"/>
          <w:vertAlign w:val="superscript"/>
        </w:rPr>
        <w:t>3</w:t>
      </w:r>
      <w:r>
        <w:rPr>
          <w:sz w:val="22"/>
        </w:rPr>
        <w:t xml:space="preserve"> Volpato et al. found that laboratory-of-origin was the dominant source of variance in iPSC-derived neuron transcriptomes, exceeding the effect of genetic background or differentiation batch. Current explanations invoke differences in operator technique, reagent lots, and passage number—but these account for only a fraction of the observed variance. We propose that uncontrolled environmental differences between laboratories constitute a missing explanatory variable.</w:t>
      </w:r>
    </w:p>
    <w:p>
      <w:pPr>
        <w:spacing w:after="120" w:before="0" w:line="360" w:lineRule="auto"/>
        <w:jc w:val="both"/>
      </w:pPr>
      <w:r>
        <w:rPr>
          <w:sz w:val="22"/>
        </w:rPr>
        <w:t>This proposal is neither speculative nor unprecedented. The in vitro fertilization (IVF) field underwent a parallel revolution when it recognized that air quality in embryology laboratories was a major determinant of blastocyst formation rates.</w:t>
      </w:r>
      <w:r>
        <w:rPr>
          <w:sz w:val="18"/>
          <w:vertAlign w:val="superscript"/>
        </w:rPr>
        <w:t>6,7</w:t>
      </w:r>
      <w:r>
        <w:rPr>
          <w:sz w:val="22"/>
        </w:rPr>
        <w:t xml:space="preserve"> Prior to this insight, unexplained clinic-to-clinic variation in IVF success rates was attributed to operator skill and patient selection; after implementing VOC filtration and environmental controls, many laboratories saw 10–20% improvements in outcomes.</w:t>
      </w:r>
      <w:r>
        <w:rPr>
          <w:sz w:val="18"/>
          <w:vertAlign w:val="superscript"/>
        </w:rPr>
        <w:t>7</w:t>
      </w:r>
      <w:r>
        <w:rPr>
          <w:sz w:val="22"/>
        </w:rPr>
        <w:t xml:space="preserve"> We argue that the PSC field is at a similar inflection point, with the added advantage that modern IoT sensor technology makes comprehensive environmental monitoring far cheaper and easier than it was for IVF laboratories two decades ago.</w:t>
      </w:r>
    </w:p>
    <w:p>
      <w:pPr>
        <w:pStyle w:val="Heading2"/>
      </w:pPr>
      <w:r>
        <w:rPr>
          <w:color w:val="000000"/>
        </w:rPr>
        <w:t>Why Pluripotent Stem Cells Are Uniquely Vulnerable</w:t>
      </w:r>
    </w:p>
    <w:p>
      <w:pPr>
        <w:spacing w:after="120" w:before="0" w:line="360" w:lineRule="auto"/>
        <w:jc w:val="both"/>
      </w:pPr>
      <w:r>
        <w:rPr>
          <w:sz w:val="22"/>
        </w:rPr>
        <w:t>The premise that uncontrolled environmental factors could meaningfully affect PSC differentiation—while being negligible for established cell lines—requires justification. Several lines of evidence support this claim.</w:t>
      </w:r>
    </w:p>
    <w:p>
      <w:pPr>
        <w:spacing w:after="120" w:before="0" w:line="360" w:lineRule="auto"/>
        <w:jc w:val="both"/>
      </w:pPr>
      <w:r>
        <w:rPr>
          <w:sz w:val="22"/>
        </w:rPr>
        <w:t>First, PSCs display markedly greater chemical sensitivity than differentiated cells. Panina et al.</w:t>
      </w:r>
      <w:r>
        <w:rPr>
          <w:sz w:val="18"/>
          <w:vertAlign w:val="superscript"/>
        </w:rPr>
        <w:t>8</w:t>
      </w:r>
      <w:r>
        <w:rPr>
          <w:sz w:val="22"/>
        </w:rPr>
        <w:t xml:space="preserve"> demonstrated that human iPS cells are approximately 1.5-fold more sensitive to drug exposure than ES cells, and both are several-fold less resistant than non-pluripotent cell types. Critically, naive-state induction—pushing cells toward a more primitive pluripotent state—further increased sensitivity, establishing a gradient: the more undifferentiated the cell, the more vulnerable it is to environmental perturbation.</w:t>
      </w:r>
    </w:p>
    <w:p>
      <w:pPr>
        <w:spacing w:after="120" w:before="0" w:line="360" w:lineRule="auto"/>
        <w:jc w:val="both"/>
      </w:pPr>
      <w:r>
        <w:rPr>
          <w:sz w:val="22"/>
        </w:rPr>
        <w:t>Second, osmotic perturbations of surprisingly small magnitude can gate cell fate transitions. McCreery et al.</w:t>
      </w:r>
      <w:r>
        <w:rPr>
          <w:sz w:val="18"/>
          <w:vertAlign w:val="superscript"/>
        </w:rPr>
        <w:t>9</w:t>
      </w:r>
      <w:r>
        <w:rPr>
          <w:sz w:val="22"/>
        </w:rPr>
        <w:t xml:space="preserve"> showed that compaction-triggered changes in nuclear shape and volume in human iPSCs remodel chromatin architecture, increase nucleoplasmic viscosity, and prime cells for ectodermal differentiation. They propose that 'mechano-osmotic reprogramming of the nuclear environment tunes differentiation efficiency by lowering the energy barrier for cell fate transitions.' This finding has immediate implications for humidity control: during biosafety cabinet work, culture medium evaporates at rates determined by ambient humidity, producing osmolarity increases that could cross the thresholds identified in their work.</w:t>
      </w:r>
    </w:p>
    <w:p>
      <w:pPr>
        <w:spacing w:after="120" w:before="0" w:line="360" w:lineRule="auto"/>
        <w:jc w:val="both"/>
      </w:pPr>
      <w:r>
        <w:rPr>
          <w:sz w:val="22"/>
        </w:rPr>
        <w:t>Third, PSCs depend on circadian clock components in a non-canonical manner. CRY1 is dramatically upregulated in iPSCs and ESCs compared to somatic cells, and its deletion impairs self-renewal and disrupts differentiation.</w:t>
      </w:r>
      <w:r>
        <w:rPr>
          <w:sz w:val="18"/>
          <w:vertAlign w:val="superscript"/>
        </w:rPr>
        <w:t>10</w:t>
      </w:r>
      <w:r>
        <w:rPr>
          <w:sz w:val="22"/>
        </w:rPr>
        <w:t xml:space="preserve"> BMAL1 coordinates energy metabolism and differentiation independently of circadian oscillation, which is suppressed in pluripotent cells.</w:t>
      </w:r>
      <w:r>
        <w:rPr>
          <w:sz w:val="18"/>
          <w:vertAlign w:val="superscript"/>
        </w:rPr>
        <w:t>11</w:t>
      </w:r>
      <w:r>
        <w:rPr>
          <w:sz w:val="22"/>
        </w:rPr>
        <w:t xml:space="preserve"> Consistent with this, daily light and darkness onset metabolically synchronize hematopoietic stem cell (HSC) differentiation and maintenance,</w:t>
      </w:r>
      <w:r>
        <w:rPr>
          <w:sz w:val="18"/>
          <w:vertAlign w:val="superscript"/>
        </w:rPr>
        <w:t>12</w:t>
      </w:r>
      <w:r>
        <w:rPr>
          <w:sz w:val="22"/>
        </w:rPr>
        <w:t xml:space="preserve"> suggesting that light-sensitive circadian pathways are broadly relevant to stem cell biology beyond the pluripotent compartment. This architecture—dependence on clock molecules without functional clock oscillation—may render PSCs vulnerable to external zeitgeber inputs (e.g., ambient light leaking into incubators or biosafety cabinets) that would not perturb differentiated cells with intact circadian buffering.</w:t>
      </w:r>
    </w:p>
    <w:p>
      <w:pPr>
        <w:spacing w:after="120" w:before="0" w:line="360" w:lineRule="auto"/>
        <w:jc w:val="both"/>
      </w:pPr>
      <w:r>
        <w:rPr>
          <w:sz w:val="22"/>
        </w:rPr>
        <w:t>Fourth, airborne pollutants affect PSCs at concentrations that leave somatic cells unharmed. Fine particulate matter (PM2.5) downregulates pluripotency markers (NANOG, OCT4) in human ESCs through ROS-mediated AKT/ERK signaling.</w:t>
      </w:r>
      <w:r>
        <w:rPr>
          <w:sz w:val="18"/>
          <w:vertAlign w:val="superscript"/>
        </w:rPr>
        <w:t>13</w:t>
      </w:r>
      <w:r>
        <w:rPr>
          <w:sz w:val="22"/>
        </w:rPr>
        <w:t xml:space="preserve"> In IVF laboratories, real-time VOC monitoring revealed that even low concentrations linearly predicted decreased blastocyst quality, and reducing VOCs increased blastocyst formation by 18% and live birth rates by 8%.</w:t>
      </w:r>
      <w:r>
        <w:rPr>
          <w:sz w:val="18"/>
          <w:vertAlign w:val="superscript"/>
        </w:rPr>
        <w:t>6,7</w:t>
      </w:r>
      <w:r>
        <w:rPr>
          <w:sz w:val="22"/>
        </w:rPr>
        <w:t xml:space="preserve"> Importantly, the effect was specific to fresh embryos—frozen embryos were unaffected—indicating that early-stage cells are selectively vulnerable.</w:t>
      </w:r>
    </w:p>
    <w:p>
      <w:pPr>
        <w:spacing w:after="120" w:before="0" w:line="360" w:lineRule="auto"/>
        <w:jc w:val="both"/>
      </w:pPr>
      <w:r>
        <w:rPr>
          <w:sz w:val="22"/>
        </w:rPr>
        <w:t>Fifth, osmolarity modulation through hyperosmotic culture drives NF-κB and WNT signaling-dependent cell cycle exit and maturation in iPSC-derived cells.</w:t>
      </w:r>
      <w:r>
        <w:rPr>
          <w:sz w:val="18"/>
          <w:vertAlign w:val="superscript"/>
        </w:rPr>
        <w:t>14</w:t>
      </w:r>
      <w:r>
        <w:rPr>
          <w:sz w:val="22"/>
        </w:rPr>
        <w:t xml:space="preserve"> This means that osmolarity changes of physiological magnitude—such as those caused by medium evaporation during cabinet work—are not merely stress events but active differentiation signals that can override intended protocol cues. The key point is not that any single perturbation is catastrophic, but that PSCs sit at an energetically shallow decision landscape where subtle environmental shifts can tip the balance between self-renewal and lineage commitment.</w:t>
      </w:r>
    </w:p>
    <w:p>
      <w:pPr>
        <w:spacing w:after="120" w:before="0" w:line="360" w:lineRule="auto"/>
        <w:jc w:val="both"/>
      </w:pPr>
      <w:r>
        <w:rPr>
          <w:sz w:val="22"/>
        </w:rPr>
        <w:t>Together, these findings establish a coherent picture: PSCs are intrinsically more sensitive to environmental perturbation than differentiated cells because of their open chromatin state, rapid proliferation, dependence on clock-associated proteins, and susceptibility to osmotic gating of fate decisions. What is unknown is the real-world magnitude of these effects in working laboratories. This gap exists not because the question is unanswerable, but because no one has yet systematically measured the relevant variables alongside differentiation outcomes.</w:t>
      </w:r>
    </w:p>
    <w:p>
      <w:pPr>
        <w:pStyle w:val="Heading2"/>
      </w:pPr>
      <w:r>
        <w:rPr>
          <w:color w:val="000000"/>
        </w:rPr>
        <w:t>A Catalogue of Uncontrolled Environmental Variables</w:t>
      </w:r>
    </w:p>
    <w:p>
      <w:pPr>
        <w:spacing w:after="120" w:before="0" w:line="360" w:lineRule="auto"/>
        <w:jc w:val="both"/>
      </w:pPr>
      <w:r>
        <w:rPr>
          <w:sz w:val="22"/>
        </w:rPr>
        <w:t>A comprehensive environmental assessment of a Japanese cell-processing facility revealed that while temperature was maintained constant year-round, humidity tracked outdoor seasonal patterns, peaking in summer and reaching troughs in winter.</w:t>
      </w:r>
      <w:r>
        <w:rPr>
          <w:sz w:val="18"/>
          <w:vertAlign w:val="superscript"/>
        </w:rPr>
        <w:t>15</w:t>
      </w:r>
      <w:r>
        <w:rPr>
          <w:sz w:val="22"/>
        </w:rPr>
        <w:t xml:space="preserve"> Bacterial and fungal contamination rates were significantly elevated at humidity above 55%. The authors noted that humidity control equipment 'is expensive and usually not set up in academic institutions.' Industry guidelines confirm that seasonal transitions substantially increase microbial contamination risk.</w:t>
      </w:r>
      <w:r>
        <w:rPr>
          <w:sz w:val="18"/>
          <w:vertAlign w:val="superscript"/>
        </w:rPr>
        <w:t>16</w:t>
      </w:r>
      <w:r>
        <w:rPr>
          <w:sz w:val="22"/>
        </w:rPr>
      </w:r>
    </w:p>
    <w:p>
      <w:pPr>
        <w:spacing w:after="120" w:before="0" w:line="360" w:lineRule="auto"/>
        <w:jc w:val="both"/>
      </w:pPr>
      <w:r>
        <w:rPr>
          <w:sz w:val="22"/>
        </w:rPr>
        <w:t>VOC concentrations in laboratories are determined by building materials, disinfectants, and HVAC systems, with off-gassing rates that are strongly temperature- and humidity-dependent—introducing a seasonal component.</w:t>
      </w:r>
      <w:r>
        <w:rPr>
          <w:sz w:val="18"/>
          <w:vertAlign w:val="superscript"/>
        </w:rPr>
        <w:t>6,7</w:t>
      </w:r>
      <w:r>
        <w:rPr>
          <w:sz w:val="22"/>
        </w:rPr>
        <w:t xml:space="preserve"> Ambient light exposure occurs during every biosafety cabinet manipulation, with duration and intensity varying by laboratory design and season (longer daylight hours in summer). Given CRY1's role in maintaining pluripotency,</w:t>
      </w:r>
      <w:r>
        <w:rPr>
          <w:sz w:val="18"/>
          <w:vertAlign w:val="superscript"/>
        </w:rPr>
        <w:t>10</w:t>
      </w:r>
      <w:r>
        <w:rPr>
          <w:sz w:val="22"/>
        </w:rPr>
        <w:t xml:space="preserve"> even brief light exposure during passage or feeding could introduce stochastic variation in differentiation priming. Electromagnetic fields from incubator heaters, freezer compressors, and building wiring (50/60 Hz) have been shown to alter gene expression in mouse ESCs,</w:t>
      </w:r>
      <w:r>
        <w:rPr>
          <w:sz w:val="18"/>
          <w:vertAlign w:val="superscript"/>
        </w:rPr>
        <w:t>17</w:t>
      </w:r>
      <w:r>
        <w:rPr>
          <w:sz w:val="22"/>
        </w:rPr>
        <w:t xml:space="preserve"> though effect sizes under typical laboratory conditions remain uncharacterized.</w:t>
      </w:r>
    </w:p>
    <w:p>
      <w:pPr>
        <w:spacing w:after="120" w:before="0" w:line="360" w:lineRule="auto"/>
        <w:jc w:val="both"/>
      </w:pPr>
      <w:r>
        <w:rPr>
          <w:sz w:val="22"/>
        </w:rPr>
        <w:t>Each of these variables exhibits characteristic seasonal patterns. Humidity tracks outdoor climate in non-climate-controlled clean rooms.</w:t>
      </w:r>
      <w:r>
        <w:rPr>
          <w:sz w:val="18"/>
          <w:vertAlign w:val="superscript"/>
        </w:rPr>
        <w:t>15</w:t>
      </w:r>
      <w:r>
        <w:rPr>
          <w:sz w:val="22"/>
        </w:rPr>
        <w:t xml:space="preserve"> VOC off-gassing rates increase with temperature and are modulated by HVAC cycling patterns that change between heating and cooling seasons. Photoperiod varies by latitude, with laboratories at high latitudes experiencing &gt;8 hours of daylight difference between solstices. Barometric pressure fluctuations correlate with storm frequency, which is itself seasonal. Cosmic ray flux shows an 11-year solar cycle modulation with additional seasonal components.</w:t>
      </w:r>
      <w:r>
        <w:rPr>
          <w:sz w:val="18"/>
          <w:vertAlign w:val="superscript"/>
        </w:rPr>
        <w:t>18</w:t>
      </w:r>
      <w:r>
        <w:rPr>
          <w:sz w:val="22"/>
        </w:rPr>
        <w:t xml:space="preserve"> The combination of these seasonal environmental signals creates a complex, latitude-dependent forcing function that no PSC laboratory currently monitors.</w:t>
      </w:r>
    </w:p>
    <w:p>
      <w:pPr>
        <w:spacing w:after="120" w:before="0" w:line="360" w:lineRule="auto"/>
        <w:jc w:val="both"/>
      </w:pPr>
      <w:r>
        <w:rPr>
          <w:sz w:val="22"/>
        </w:rPr>
        <w:t>Barometric pressure fluctuations deserve particular attention. Low-pressure weather systems reduce the partial pressure of dissolved gases in culture media and alter gas exchange kinetics in non-equilibrated incubators. These fluctuations are acute (hours), large (up to 30 hPa during cyclones), and entirely uncompensated in standard CO₂ incubators. Although direct evidence linking barometric pressure to PSC differentiation is lacking, the sensitivity of pH-dependent signaling pathways (e.g., Wnt, Hedgehog) to dissolved CO₂ concentrations suggests a plausible mechanism. Similarly, building vibration from HVAC systems, foot traffic, and nearby construction transmits mechanical stress to cultured cells—and recent work demonstrates that mechanical compression can modulate nuclear mechanics and differentiation timing in hiPSCs.</w:t>
      </w:r>
      <w:r>
        <w:rPr>
          <w:sz w:val="18"/>
          <w:vertAlign w:val="superscript"/>
        </w:rPr>
        <w:t>9</w:t>
      </w:r>
      <w:r>
        <w:rPr>
          <w:sz w:val="22"/>
        </w:rPr>
      </w:r>
    </w:p>
    <w:p>
      <w:pPr>
        <w:pStyle w:val="Heading2"/>
      </w:pPr>
      <w:r>
        <w:rPr>
          <w:color w:val="000000"/>
        </w:rPr>
        <w:t>Seasonality Evidence from IVF: A Proof of Concept</w:t>
      </w:r>
    </w:p>
    <w:p>
      <w:pPr>
        <w:spacing w:after="120" w:before="0" w:line="360" w:lineRule="auto"/>
        <w:jc w:val="both"/>
      </w:pPr>
      <w:r>
        <w:rPr>
          <w:sz w:val="22"/>
        </w:rPr>
        <w:t>The IVF field provides the strongest existing evidence that season affects early-stage cell outcomes. Leathersich et al.</w:t>
      </w:r>
      <w:r>
        <w:rPr>
          <w:sz w:val="18"/>
          <w:vertAlign w:val="superscript"/>
        </w:rPr>
        <w:t>19</w:t>
      </w:r>
      <w:r>
        <w:rPr>
          <w:sz w:val="22"/>
        </w:rPr>
        <w:t xml:space="preserve"> analyzed 3,659 frozen embryo transfer cycles in Perth, Australia (33°S), finding that oocytes collected in summer had 30% higher live birth rates than those collected in autumn. Crucially, the season of embryo transfer was irrelevant—only the season at oocyte collection mattered—establishing that the effect acts on the gamete/early embryo rather than on implantation. Northern Hemisphere studies report concordant summer advantages,</w:t>
      </w:r>
      <w:r>
        <w:rPr>
          <w:sz w:val="18"/>
          <w:vertAlign w:val="superscript"/>
        </w:rPr>
        <w:t>20</w:t>
      </w:r>
      <w:r>
        <w:rPr>
          <w:sz w:val="22"/>
        </w:rPr>
        <w:t xml:space="preserve"> and a Brazilian study at 23°S confirms the expected six-month phase shift in embryo quality metrics.</w:t>
      </w:r>
      <w:r>
        <w:rPr>
          <w:sz w:val="18"/>
          <w:vertAlign w:val="superscript"/>
        </w:rPr>
        <w:t>21</w:t>
      </w:r>
      <w:r>
        <w:rPr>
          <w:sz w:val="22"/>
        </w:rPr>
        <w:t xml:space="preserve"> However, a recent meta-analysis of 159,696 fresh transfers found minimal overall effects,</w:t>
      </w:r>
      <w:r>
        <w:rPr>
          <w:sz w:val="18"/>
          <w:vertAlign w:val="superscript"/>
        </w:rPr>
        <w:t>22</w:t>
      </w:r>
      <w:r>
        <w:rPr>
          <w:sz w:val="22"/>
        </w:rPr>
        <w:t xml:space="preserve"> suggesting the impact is specific to oocyte/embryo quality rather than implantation.</w:t>
      </w:r>
    </w:p>
    <w:p>
      <w:pPr>
        <w:spacing w:after="120" w:before="0" w:line="360" w:lineRule="auto"/>
        <w:jc w:val="both"/>
      </w:pPr>
      <w:r>
        <w:rPr>
          <w:sz w:val="22"/>
        </w:rPr>
        <w:t>Wang et al.</w:t>
      </w:r>
      <w:r>
        <w:rPr>
          <w:sz w:val="18"/>
          <w:vertAlign w:val="superscript"/>
        </w:rPr>
        <w:t>23</w:t>
      </w:r>
      <w:r>
        <w:rPr>
          <w:sz w:val="22"/>
        </w:rPr>
        <w:t xml:space="preserve"> provided direct experimental evidence in mice: embryos cultured during summer showed the 'two-cell block' phenomenon at the early two-cell stage, while winter embryos developed normally. Cleavage from two-cell to four-cell was also delayed in summer. This finding—a seasonal effect on preimplantation embryo development under ostensibly controlled culture conditions—is precisely the type of signal that uncontrolled environmental variables would produce.</w:t>
      </w:r>
    </w:p>
    <w:p>
      <w:pPr>
        <w:spacing w:after="120" w:before="0" w:line="360" w:lineRule="auto"/>
        <w:jc w:val="both"/>
      </w:pPr>
      <w:r>
        <w:rPr>
          <w:sz w:val="22"/>
        </w:rPr>
        <w:t>The IVF evidence is particularly instructive because it provides a causal structure: the season at oocyte collection affects outcomes, but the season at embryo transfer does not.</w:t>
      </w:r>
      <w:r>
        <w:rPr>
          <w:sz w:val="18"/>
          <w:vertAlign w:val="superscript"/>
        </w:rPr>
        <w:t>19</w:t>
      </w:r>
      <w:r>
        <w:rPr>
          <w:sz w:val="22"/>
        </w:rPr>
        <w:t xml:space="preserve"> This temporal dissection implies that the environmental effect acts during a specific developmental window—oocyte maturation and early cleavage—rather than through a general mechanism affecting all cells at all times. PSC differentiation protocols, which recapitulate aspects of early embryonic lineage commitment over 7–30 days, would be expected to share this window-specific vulnerability. The parallel is not merely analogical: iPSCs undergoing directed differentiation traverse epigenetic states homologous to those of the early embryo, including the exit from naive pluripotency, lineage priming, and specification—each potentially gated by the same environmental sensitivities that affect preimplantation development.</w:t>
      </w:r>
    </w:p>
    <w:p>
      <w:pPr>
        <w:pStyle w:val="Heading2"/>
      </w:pPr>
      <w:r>
        <w:rPr>
          <w:color w:val="000000"/>
        </w:rPr>
        <w:t>A Natural Experiment Reveals Institutional, Not Biological, Seasonality</w:t>
      </w:r>
    </w:p>
    <w:p>
      <w:pPr>
        <w:spacing w:after="120" w:before="0" w:line="360" w:lineRule="auto"/>
        <w:jc w:val="both"/>
      </w:pPr>
      <w:r>
        <w:rPr>
          <w:sz w:val="22"/>
        </w:rPr>
        <w:t>Given the evidence above, we asked whether seasonal patterns are detectable in public PSC research databases. We analyzed submission dates for 6,101 PSC differentiation datasets deposited in NCBI GEO</w:t>
      </w:r>
      <w:r>
        <w:rPr>
          <w:sz w:val="18"/>
          <w:vertAlign w:val="superscript"/>
        </w:rPr>
        <w:t>24</w:t>
      </w:r>
      <w:r>
        <w:rPr>
          <w:sz w:val="22"/>
        </w:rPr>
        <w:t xml:space="preserve"> between 2001 and 2026 (search query: 'iPSC OR ESC differentiation'; inclusion: all dataset types with valid submission dates; exclusion: datasets lacking month-level date resolution). The overall distribution was significantly non-uniform (χ²=32.3, df=11, p=0.0007) with a pronounced March peak—superficially consistent with a spring photoperiod advantage in the Northern Hemisphere.</w:t>
      </w:r>
    </w:p>
    <w:p>
      <w:pPr>
        <w:spacing w:after="120" w:before="0" w:line="360" w:lineRule="auto"/>
        <w:jc w:val="both"/>
      </w:pPr>
      <w:r>
        <w:rPr>
          <w:sz w:val="22"/>
        </w:rPr>
        <w:t>To distinguish biological from institutional drivers, we exploited a natural experiment: geographic variation in academic/fiscal year calendars. Countries were grouped by academic year start month: Japan and South Korea (March/April start, n=250), USA/Europe/China (September/October start, n=2,825), and Australia/New Zealand/Brazil (January/February start, Southern Hemisphere, n=83). Using Pearson's χ² and circular Rayleigh tests,</w:t>
      </w:r>
      <w:r>
        <w:rPr>
          <w:sz w:val="18"/>
          <w:vertAlign w:val="superscript"/>
        </w:rPr>
        <w:t>25</w:t>
      </w:r>
      <w:r>
        <w:rPr>
          <w:sz w:val="22"/>
        </w:rPr>
        <w:t xml:space="preserve"> we found a striking dissociation (Figure 1).</w:t>
      </w:r>
    </w:p>
    <w:p>
      <w:pPr>
        <w:spacing w:after="120" w:before="0" w:line="360" w:lineRule="auto"/>
        <w:jc w:val="both"/>
      </w:pPr>
      <w:r>
        <w:rPr>
          <w:sz w:val="22"/>
        </w:rPr>
        <w:t>Only the Japan/South Korea group showed significant seasonality (χ²=32.8, df=11, p=0.0006, Rayleigh R=0.172) with a March peak perfectly aligned with Japan's fiscal year-end. The much larger September-start group (n=2,825) showed no significant seasonal pattern (χ²=15.0, p=0.13). A sensitivity analysis confirmed that Japan—just 3.3% of the total dataset—drove the overall signal: excluding Japan shifted the peak from March to January and, when restricted to records with known country affiliation (n=3,195), eliminated statistical significance entirely (p=0.128).</w:t>
      </w:r>
    </w:p>
    <w:p>
      <w:pPr>
        <w:spacing w:after="120" w:before="240" w:line="360" w:lineRule="auto"/>
        <w:jc w:val="both"/>
      </w:pPr>
    </w:p>
    <w:p>
      <w:r>
        <w:drawing>
          <wp:inline xmlns:a="http://schemas.openxmlformats.org/drawingml/2006/main" xmlns:pic="http://schemas.openxmlformats.org/drawingml/2006/picture">
            <wp:extent cx="5486400" cy="4730603"/>
            <wp:docPr id="1" name="Picture 1"/>
            <wp:cNvGraphicFramePr>
              <a:graphicFrameLocks noChangeAspect="1"/>
            </wp:cNvGraphicFramePr>
            <a:graphic>
              <a:graphicData uri="http://schemas.openxmlformats.org/drawingml/2006/picture">
                <pic:pic>
                  <pic:nvPicPr>
                    <pic:cNvPr id="0" name="natural_experiment_figure.png"/>
                    <pic:cNvPicPr/>
                  </pic:nvPicPr>
                  <pic:blipFill>
                    <a:blip r:embed="rId9"/>
                    <a:stretch>
                      <a:fillRect/>
                    </a:stretch>
                  </pic:blipFill>
                  <pic:spPr>
                    <a:xfrm>
                      <a:off x="0" y="0"/>
                      <a:ext cx="5486400" cy="4730603"/>
                    </a:xfrm>
                    <a:prstGeom prst="rect"/>
                  </pic:spPr>
                </pic:pic>
              </a:graphicData>
            </a:graphic>
          </wp:inline>
        </w:drawing>
      </w:r>
    </w:p>
    <w:p>
      <w:pPr>
        <w:spacing w:after="240" w:before="240" w:line="360" w:lineRule="auto"/>
        <w:jc w:val="both"/>
      </w:pPr>
      <w:r>
        <w:rPr>
          <w:b/>
          <w:sz w:val="20"/>
        </w:rPr>
        <w:t xml:space="preserve">Figure 1. Academic calendar variation as a natural experiment. </w:t>
      </w:r>
      <w:r>
        <w:rPr>
          <w:sz w:val="20"/>
        </w:rPr>
        <w:t>(A) Normalized monthly distributions of GEO PSC dataset submissions by academic year group. The March/April-start group (Japan/Korea, red) shows a pronounced March peak absent in the September-start group (USA/Europe/China, blue). (B) Country-level heatmap: the pattern is driven predominantly by Japan. (C) Circular mean directions (Rayleigh vectors) for each group. (D) Statistical summary. Only Japan/Korea achieves significance (p&lt;0.001). n=6,101 total datasets; 3,195 with country affiliation.</w:t>
      </w:r>
    </w:p>
    <w:p>
      <w:pPr>
        <w:spacing w:after="120" w:before="0" w:line="360" w:lineRule="auto"/>
        <w:jc w:val="both"/>
      </w:pPr>
      <w:r>
        <w:rPr>
          <w:sz w:val="22"/>
        </w:rPr>
        <w:t>This result carries a critical methodological lesson. What appeared to be evidence of seasonal biological influence on stem cell research was in fact an artifact of Japan's March 31 fiscal year-end, which creates a rush to submit manuscripts and deposit data before annual reporting deadlines. Japan contributed only 3.3% of total datasets (200/6,101) but accounted for 15% of all March submissions—a nearly two-fold over-representation relative to its overall share. The fiscal year-end effect is well-documented in Japanese academic culture: grant reports are due by March 31, creating institutional pressure to finalize data and publications before the deadline.</w:t>
      </w:r>
    </w:p>
    <w:p>
      <w:pPr>
        <w:spacing w:after="120" w:before="0" w:line="360" w:lineRule="auto"/>
        <w:jc w:val="both"/>
      </w:pPr>
      <w:r>
        <w:rPr>
          <w:sz w:val="22"/>
        </w:rPr>
        <w:t>An exploratory analysis of the relationship between PSC dataset volume and solar activity indices (NOAA F10.7 flux) illustrates a complementary pitfall. The raw correlation was r=0.48, suggesting an intriguing link—until detrending removed the common upward trajectory of both iPSC research output (exponential growth since 2006) and Solar Cycle 24/25 ascent, yielding a residual correlation of r=0.02 (p=0.75). Co-trending time series frequently produce spurious correlations that evaporate once the shared secular trend is removed.</w:t>
      </w:r>
    </w:p>
    <w:p>
      <w:pPr>
        <w:spacing w:after="120" w:before="0" w:line="360" w:lineRule="auto"/>
        <w:jc w:val="both"/>
      </w:pPr>
      <w:r>
        <w:rPr>
          <w:sz w:val="22"/>
        </w:rPr>
        <w:t>Geographic analysis further constrained interpretation: 97% of GEO datasets with identifiable country affiliations originated from Northern Hemisphere institutions, rendering hemisphere-inversion tests—the most powerful diagnostic for distinguishing solar-driven from institutional effects—impractical with GEO data alone. The broader implication extends beyond stem cell biology. Any field that relies on publication or data-deposition timing as a proxy for experimental timing risks confounding institutional rhythms with biological ones. GEO submission dates reflect a complex convolution of experiment timing, analysis duration, writing, peer review, and institutional incentives—with a typical lag of 6–18 months from bench experiment to data deposition. Our natural experiment demonstrates that public database metadata cannot reliably distinguish biological seasonality from institutional rhythms. This finding should serve as a cautionary note for meta-research studies that use submission timestamps as temporal proxies.</w:t>
      </w:r>
    </w:p>
    <w:p>
      <w:pPr>
        <w:pStyle w:val="Heading2"/>
      </w:pPr>
      <w:r>
        <w:rPr>
          <w:color w:val="000000"/>
        </w:rPr>
        <w:t>The Path Forward: Prospective Environmental Monitoring</w:t>
      </w:r>
    </w:p>
    <w:p>
      <w:pPr>
        <w:spacing w:after="120" w:before="0" w:line="360" w:lineRule="auto"/>
        <w:jc w:val="both"/>
      </w:pPr>
      <w:r>
        <w:rPr>
          <w:sz w:val="22"/>
        </w:rPr>
        <w:t>Our GEO analysis demonstrates that retrospective database mining is insufficient to detect or rule out environmental seasonality in stem cell differentiation. The IVF evidence (Leathersich et al.,</w:t>
      </w:r>
      <w:r>
        <w:rPr>
          <w:sz w:val="18"/>
          <w:vertAlign w:val="superscript"/>
        </w:rPr>
        <w:t>19</w:t>
      </w:r>
      <w:r>
        <w:rPr>
          <w:sz w:val="22"/>
        </w:rPr>
        <w:t xml:space="preserve"> Wang et al.</w:t>
      </w:r>
      <w:r>
        <w:rPr>
          <w:sz w:val="18"/>
          <w:vertAlign w:val="superscript"/>
        </w:rPr>
        <w:t>23</w:t>
      </w:r>
      <w:r>
        <w:rPr>
          <w:sz w:val="22"/>
        </w:rPr>
        <w:t>) suggests that such effects exist in early-stage cells, and the vulnerability evidence (Panina et al.,</w:t>
      </w:r>
      <w:r>
        <w:rPr>
          <w:sz w:val="18"/>
          <w:vertAlign w:val="superscript"/>
        </w:rPr>
        <w:t>8</w:t>
      </w:r>
      <w:r>
        <w:rPr>
          <w:sz w:val="22"/>
        </w:rPr>
        <w:t xml:space="preserve"> McCreery et al.</w:t>
      </w:r>
      <w:r>
        <w:rPr>
          <w:sz w:val="18"/>
          <w:vertAlign w:val="superscript"/>
        </w:rPr>
        <w:t>9</w:t>
      </w:r>
      <w:r>
        <w:rPr>
          <w:sz w:val="22"/>
        </w:rPr>
        <w:t>) suggests PSCs are plausible targets. What is needed is prospective, controlled environmental monitoring paired with differentiation outcome tracking.</w:t>
      </w:r>
    </w:p>
    <w:p>
      <w:pPr>
        <w:spacing w:after="120" w:before="0" w:line="360" w:lineRule="auto"/>
        <w:jc w:val="both"/>
      </w:pPr>
      <w:r>
        <w:rPr>
          <w:sz w:val="22"/>
        </w:rPr>
        <w:t>We propose a three-phase approach. Phase I: equip PSC facilities with continuous multi-parameter sensors (humidity, illuminance, ELF-EMF, barometric pressure, VOC levels, vibration) at 1-minute resolution alongside routine differentiation outcomes for ≥12 months. Modern IoT sensor packages achieve this at modest cost (&lt;$5,000 per laboratory). Phase II: analyze existing data from IVF registries (HFEA in the UK, ANZARD in Australia) that contain date-stamped cycle outcomes with latitude information—these can directly test the hemisphere-inversion prediction for photoperiod-driven effects. Phase III: for variables identified in Phases I–II as significantly correlated with outcomes, conduct prospective controlled interventions (e.g., humidity-controlled vs. uncontrolled incubators, light-tight hoods vs. standard biosafety cabinets, magnetic shielding).</w:t>
      </w:r>
    </w:p>
    <w:p>
      <w:pPr>
        <w:spacing w:after="120" w:before="0" w:line="360" w:lineRule="auto"/>
        <w:jc w:val="both"/>
      </w:pPr>
      <w:r>
        <w:rPr>
          <w:sz w:val="22"/>
        </w:rPr>
        <w:t>The hemisphere-inversion test provides a powerful diagnostic criterion. Variables whose effects are phase-inverted between Northern and Southern Hemisphere laboratories (e.g., summer advantage in both Perth and Boston, six months apart) implicate solar-driven mechanisms—photoperiod, temperature, UV flux. Variables whose effects are hemisphere-synchronous (e.g., identical timing in both hemispheres) implicate geomagnetic or cosmic ray pathways, which are global rather than latitude-dependent. A coordinated multi-center study spanning both hemispheres could decompose seasonal variation into these mechanistic categories.</w:t>
      </w:r>
    </w:p>
    <w:p>
      <w:pPr>
        <w:spacing w:after="120" w:before="0" w:line="360" w:lineRule="auto"/>
        <w:jc w:val="both"/>
      </w:pPr>
      <w:r>
        <w:rPr>
          <w:sz w:val="22"/>
        </w:rPr>
        <w:t>The key principle is that monitoring imposes no change on existing workflows—it simply makes the invisible visible. Unlike prospective intervention studies, which require protocol modifications and ethical approvals, passive environmental monitoring can be implemented immediately in any laboratory. The resulting datasets, when combined across multiple sites and latitudes, would constitute a resource of enormous value for the field—analogous to weather station networks that transformed meteorology from an anecdotal practice to a predictive science.</w:t>
      </w:r>
    </w:p>
    <w:p>
      <w:pPr>
        <w:spacing w:after="120" w:before="0" w:line="360" w:lineRule="auto"/>
        <w:jc w:val="both"/>
      </w:pPr>
      <w:r>
        <w:rPr>
          <w:sz w:val="22"/>
        </w:rPr>
        <w:t>The technical requirements for Phase I monitoring are straightforward. A minimum sensor array would include: (1) temperature/humidity loggers (±0.1°C, ±1% RH) inside incubators and at bench level; (2) a photodiode sensor in the biosafety cabinet recording cumulative lux-hours of exposure per manipulation; (3) a VOC sensor (ppb-level total VOC) with seasonal baseline tracking; (4) an ELF-EMF sensor (3-axis, nT resolution) placed adjacent to incubators; and (5) a barometric pressure logger. Modern IoT platforms can integrate all five data streams with automatic cloud upload, enabling multi-site meta-analyses without manual data wrangling. The critical companion requirement is systematic recording of differentiation outcomes per batch—ideally including not just binary success/failure but quantitative markers (flow cytometry percentages, gene expression levels, electrophysiological parameters) that permit correlation analysis.</w:t>
      </w:r>
    </w:p>
    <w:p>
      <w:pPr>
        <w:spacing w:after="120" w:before="0" w:line="360" w:lineRule="auto"/>
        <w:jc w:val="both"/>
      </w:pPr>
      <w:r>
        <w:rPr>
          <w:sz w:val="22"/>
        </w:rPr>
        <w:t>Figure 2 presents a research roadmap organized by the expected hemisphere-dependence of each variable and the current level of evidence.</w:t>
      </w:r>
    </w:p>
    <w:p>
      <w:pPr>
        <w:spacing w:after="120" w:before="240" w:line="360" w:lineRule="auto"/>
        <w:jc w:val="both"/>
      </w:pPr>
      <w:r>
        <w:rPr>
          <w:b/>
          <w:color w:val="969696"/>
        </w:rPr>
        <w:t>[FIGURE 2 — Research roadmap: see separate PPTX file]</w:t>
      </w:r>
    </w:p>
    <w:p>
      <w:pPr>
        <w:spacing w:after="240" w:before="240" w:line="360" w:lineRule="auto"/>
        <w:jc w:val="both"/>
      </w:pPr>
      <w:r>
        <w:rPr>
          <w:b/>
          <w:sz w:val="20"/>
        </w:rPr>
        <w:t xml:space="preserve">Figure 2. Research roadmap for environmental profiling of PSC culture. </w:t>
      </w:r>
      <w:r>
        <w:rPr>
          <w:sz w:val="20"/>
        </w:rPr>
        <w:t>(A) Evidence matrix: uncontrolled environmental variables classified by hemisphere-dependence (inverted = solar-driven; synchronous = geomagnetic) and evidence level (direct PSC, indirect IVF/cell culture, theoretical). (B) Three-phase investigation strategy from passive monitoring through retrospective data mining to controlled intervention. Variables whose effects are hemisphere-inverted implicate solar/photoperiod mechanisms; hemisphere-synchronous effects implicate geomagnetic pathways.</w:t>
      </w:r>
    </w:p>
    <w:p>
      <w:pPr>
        <w:pStyle w:val="Heading2"/>
      </w:pPr>
      <w:r>
        <w:rPr>
          <w:color w:val="000000"/>
        </w:rPr>
        <w:t>Implications for Cell Therapy Manufacturing</w:t>
      </w:r>
    </w:p>
    <w:p>
      <w:pPr>
        <w:spacing w:after="120" w:before="0" w:line="360" w:lineRule="auto"/>
        <w:jc w:val="both"/>
      </w:pPr>
      <w:r>
        <w:rPr>
          <w:sz w:val="22"/>
        </w:rPr>
        <w:t>As PSC-derived cell therapies advance toward clinical application,</w:t>
      </w:r>
      <w:r>
        <w:rPr>
          <w:sz w:val="18"/>
          <w:vertAlign w:val="superscript"/>
        </w:rPr>
        <w:t>1</w:t>
      </w:r>
      <w:r>
        <w:rPr>
          <w:sz w:val="22"/>
        </w:rPr>
        <w:t xml:space="preserve"> manufacturing consistency becomes a regulatory imperative. Current Good Manufacturing Practice (cGMP) facilities control temperature, humidity, and particulates, but do not routinely monitor illuminance, EMF, VOCs, or barometric pressure. If any of these variables meaningfully affect differentiation, current manufacturing harbors hidden batch-to-batch variability attributed to biological stochasticity but potentially environmental and correctable. The economic argument is compelling: failed batches in autologous cell therapy represent lost patient tissue and treatment delays. Even modest improvements in first-pass success rates through environmental optimization could translate into significant cost savings and reduced time-to-treatment.</w:t>
      </w:r>
    </w:p>
    <w:p>
      <w:pPr>
        <w:spacing w:after="120" w:before="0" w:line="360" w:lineRule="auto"/>
        <w:jc w:val="both"/>
      </w:pPr>
      <w:r>
        <w:rPr>
          <w:sz w:val="22"/>
        </w:rPr>
        <w:t>The IVF field's experience is instructive: when laboratories invested in VOC filtration and positive-pressure air handling, blastocyst rates increased by 18% and live births by 8%.</w:t>
      </w:r>
      <w:r>
        <w:rPr>
          <w:sz w:val="18"/>
          <w:vertAlign w:val="superscript"/>
        </w:rPr>
        <w:t>7</w:t>
      </w:r>
      <w:r>
        <w:rPr>
          <w:sz w:val="22"/>
        </w:rPr>
        <w:t xml:space="preserve"> These improvements were achieved not through better biological protocols but through better environmental control—precisely the paradigm shift we advocate for PSC manufacturing. The convergence of clinical-grade cell therapy production with modern IoT environmental monitoring capabilities creates an opportune moment to establish new standards for 'environmentally aware' cell culture.</w:t>
      </w:r>
    </w:p>
    <w:p>
      <w:pPr>
        <w:pStyle w:val="Heading2"/>
      </w:pPr>
      <w:r>
        <w:rPr>
          <w:color w:val="000000"/>
        </w:rPr>
        <w:t>What This Perspective Does Not Argue</w:t>
      </w:r>
    </w:p>
    <w:p>
      <w:pPr>
        <w:spacing w:after="120" w:before="0" w:line="360" w:lineRule="auto"/>
        <w:jc w:val="both"/>
      </w:pPr>
      <w:r>
        <w:rPr>
          <w:sz w:val="22"/>
        </w:rPr>
        <w:t>We wish to be explicit about the boundaries of our argument. We are not claiming that seasonal photoperiod directly drives PSC differentiation outcomes—our GEO analysis demonstrates precisely the opposite: the apparent seasonal signal in public databases is institutional, not biological. We are not claiming that environmental variables are the dominant source of differentiation variability—genetic background, passage number, and operator technique remain important. Rather, we argue that environmental variables constitute an additional, correctable source of variation that has been systematically overlooked because it is never measured. The null hypothesis—that variables like humidity, VOCs, and ambient light have zero effect on PSC differentiation—is contradicted by the evidence reviewed above,</w:t>
      </w:r>
      <w:r>
        <w:rPr>
          <w:sz w:val="18"/>
          <w:vertAlign w:val="superscript"/>
        </w:rPr>
        <w:t>8,9,13</w:t>
      </w:r>
      <w:r>
        <w:rPr>
          <w:sz w:val="22"/>
        </w:rPr>
        <w:t xml:space="preserve"> but the magnitude of effects under real-world laboratory conditions remains unknown. Only prospective measurement can resolve this question.</w:t>
      </w:r>
    </w:p>
    <w:p>
      <w:pPr>
        <w:pStyle w:val="Heading2"/>
      </w:pPr>
      <w:r>
        <w:rPr>
          <w:color w:val="000000"/>
        </w:rPr>
        <w:t>Conclusions</w:t>
      </w:r>
    </w:p>
    <w:p>
      <w:pPr>
        <w:spacing w:after="120" w:before="0" w:line="360" w:lineRule="auto"/>
        <w:jc w:val="both"/>
      </w:pPr>
      <w:r>
        <w:rPr>
          <w:sz w:val="22"/>
        </w:rPr>
        <w:t>We have presented three convergent arguments. First, PSCs are uniquely vulnerable to environmental perturbations at magnitudes that leave differentiated cells unaffected—from osmotic stress</w:t>
      </w:r>
      <w:r>
        <w:rPr>
          <w:sz w:val="18"/>
          <w:vertAlign w:val="superscript"/>
        </w:rPr>
        <w:t>9</w:t>
      </w:r>
      <w:r>
        <w:rPr>
          <w:sz w:val="22"/>
        </w:rPr>
        <w:t xml:space="preserve"> to airborne pollutants</w:t>
      </w:r>
      <w:r>
        <w:rPr>
          <w:sz w:val="18"/>
          <w:vertAlign w:val="superscript"/>
        </w:rPr>
        <w:t>13</w:t>
      </w:r>
      <w:r>
        <w:rPr>
          <w:sz w:val="22"/>
        </w:rPr>
        <w:t xml:space="preserve"> to circadian disruption.</w:t>
      </w:r>
      <w:r>
        <w:rPr>
          <w:sz w:val="18"/>
          <w:vertAlign w:val="superscript"/>
        </w:rPr>
        <w:t>10</w:t>
      </w:r>
      <w:r>
        <w:rPr>
          <w:sz w:val="22"/>
        </w:rPr>
        <w:t xml:space="preserve"> Second, multiple environmental variables in typical PSC laboratories remain unmonitored and exhibit seasonal variation.</w:t>
      </w:r>
      <w:r>
        <w:rPr>
          <w:sz w:val="18"/>
          <w:vertAlign w:val="superscript"/>
        </w:rPr>
        <w:t>15</w:t>
      </w:r>
      <w:r>
        <w:rPr>
          <w:sz w:val="22"/>
        </w:rPr>
        <w:t xml:space="preserve"> Third, our natural experiment using GEO metadata demonstrates that apparent seasonality in stem cell databases is an institutional calendar artifact, meaning that database-mining approaches cannot resolve the question—only prospective measurement can.</w:t>
      </w:r>
    </w:p>
    <w:p>
      <w:pPr>
        <w:spacing w:after="120" w:before="0" w:line="360" w:lineRule="auto"/>
        <w:jc w:val="both"/>
      </w:pPr>
      <w:r>
        <w:rPr>
          <w:sz w:val="22"/>
        </w:rPr>
        <w:t>More broadly, this work exposes a methodological complacency inherent in clonal research. The assumption that genetically homogeneous systems require no confounding adjustment has allowed non-genetic sources of variation—environmental, institutional, and temporal—to accumulate undetected. Our GEO natural experiment demonstrates how a seemingly homogeneous global dataset can be driven by a single country's fiscal calendar. This lesson extends beyond PSC biology to any field where clonal or isogenic systems create a false sense of experimental control: genetic uniformity does not guarantee environmental uniformity, and aggregate data from clonal experiments are not immune to confounding.</w:t>
      </w:r>
    </w:p>
    <w:p>
      <w:pPr>
        <w:spacing w:after="120" w:before="0" w:line="360" w:lineRule="auto"/>
        <w:jc w:val="both"/>
      </w:pPr>
      <w:r>
        <w:rPr>
          <w:sz w:val="22"/>
        </w:rPr>
        <w:t>The history of experimental biology is punctuated by discoveries that 'noise' was in fact signal from an unmeasured variable. The stem cell field may be at such an inflection point. We have spent two decades optimizing recipes while ignoring the kitchen. The convergence of evidence from IVF seasonality,</w:t>
      </w:r>
      <w:r>
        <w:rPr>
          <w:sz w:val="18"/>
          <w:vertAlign w:val="superscript"/>
        </w:rPr>
        <w:t>19,23</w:t>
      </w:r>
      <w:r>
        <w:rPr>
          <w:sz w:val="22"/>
        </w:rPr>
        <w:t xml:space="preserve"> circadian regulation of pluripotency,</w:t>
      </w:r>
      <w:r>
        <w:rPr>
          <w:sz w:val="18"/>
          <w:vertAlign w:val="superscript"/>
        </w:rPr>
        <w:t>10,11</w:t>
      </w:r>
      <w:r>
        <w:rPr>
          <w:sz w:val="22"/>
        </w:rPr>
        <w:t xml:space="preserve"> and environmental monitoring of cell-processing facilities</w:t>
      </w:r>
      <w:r>
        <w:rPr>
          <w:sz w:val="18"/>
          <w:vertAlign w:val="superscript"/>
        </w:rPr>
        <w:t>15</w:t>
      </w:r>
      <w:r>
        <w:rPr>
          <w:sz w:val="22"/>
        </w:rPr>
        <w:t xml:space="preserve"> suggests that the invisible variables are neither negligible nor intractable. They merely need to be measured.</w:t>
      </w:r>
    </w:p>
    <w:p>
      <w:pPr>
        <w:spacing w:after="120" w:before="0" w:line="360" w:lineRule="auto"/>
        <w:jc w:val="both"/>
      </w:pPr>
      <w:r>
        <w:rPr>
          <w:sz w:val="22"/>
        </w:rPr>
        <w:t>The practical path forward is clear. First, equip PSC laboratories with multi-parameter environmental sensors and record outcomes systematically for 12 months. Second, analyze IVF registry data (HFEA, ANZARD) for hemisphere-dependent seasonal effects on embryo quality. Third, for any variable identified as significant, conduct controlled interventions. The cost of environmental monitoring is negligible compared to the cost of failed differentiation batches in clinical manufacturing.</w:t>
      </w:r>
      <w:r>
        <w:rPr>
          <w:sz w:val="18"/>
          <w:vertAlign w:val="superscript"/>
        </w:rPr>
        <w:t>1,26</w:t>
      </w:r>
      <w:r>
        <w:rPr>
          <w:sz w:val="22"/>
        </w:rPr>
        <w:t xml:space="preserve"> If even one invisible variable proves consequential—as VOCs proved consequential in IVF</w:t>
      </w:r>
      <w:r>
        <w:rPr>
          <w:sz w:val="18"/>
          <w:vertAlign w:val="superscript"/>
        </w:rPr>
        <w:t>7</w:t>
      </w:r>
      <w:r>
        <w:rPr>
          <w:sz w:val="22"/>
        </w:rPr>
        <w:t>—the return on investment for the field will be transformative.</w:t>
      </w:r>
    </w:p>
    <w:p>
      <w:pPr>
        <w:pStyle w:val="Heading2"/>
      </w:pPr>
      <w:r>
        <w:rPr>
          <w:color w:val="000000"/>
        </w:rPr>
        <w:t>Data and Code Availability</w:t>
      </w:r>
    </w:p>
    <w:p>
      <w:pPr>
        <w:spacing w:after="120" w:before="0" w:line="360" w:lineRule="auto"/>
        <w:jc w:val="both"/>
      </w:pPr>
      <w:r>
        <w:rPr>
          <w:sz w:val="22"/>
        </w:rPr>
        <w:t>The GEO metadata analysis used publicly available data accessed through the NCBI GEO API</w:t>
      </w:r>
      <w:r>
        <w:rPr>
          <w:sz w:val="18"/>
          <w:vertAlign w:val="superscript"/>
        </w:rPr>
        <w:t>24</w:t>
      </w:r>
      <w:r>
        <w:rPr>
          <w:sz w:val="22"/>
        </w:rPr>
        <w:t xml:space="preserve"> (search query: 'iPSC OR ESC differentiation'; date range: 2001–2026). Solar activity indices were obtained from the NOAA Space Weather Prediction Center. Analysis code, processed datasets, and figure-generation scripts are available at [GitHub repository URL to be inserted upon acceptance].</w:t>
      </w:r>
    </w:p>
    <w:p>
      <w:pPr>
        <w:pStyle w:val="Heading2"/>
      </w:pPr>
      <w:r>
        <w:rPr>
          <w:color w:val="000000"/>
        </w:rPr>
        <w:t>Acknowledgments</w:t>
      </w:r>
    </w:p>
    <w:p>
      <w:pPr>
        <w:spacing w:after="120" w:before="0" w:line="360" w:lineRule="auto"/>
        <w:jc w:val="both"/>
      </w:pPr>
      <w:r>
        <w:rPr>
          <w:i/>
          <w:sz w:val="20"/>
        </w:rPr>
        <w:t>[To be added]</w:t>
      </w:r>
    </w:p>
    <w:p>
      <w:pPr>
        <w:pStyle w:val="Heading2"/>
      </w:pPr>
      <w:r>
        <w:rPr>
          <w:color w:val="000000"/>
        </w:rPr>
        <w:t>Declaration of Interests</w:t>
      </w:r>
    </w:p>
    <w:p>
      <w:pPr>
        <w:spacing w:after="120" w:before="0" w:line="360" w:lineRule="auto"/>
        <w:jc w:val="both"/>
      </w:pPr>
      <w:r>
        <w:rPr>
          <w:sz w:val="22"/>
        </w:rPr>
        <w:t>The authors declare no competing interests.</w:t>
      </w:r>
    </w:p>
    <w:p>
      <w:pPr>
        <w:pStyle w:val="Heading2"/>
      </w:pPr>
      <w:r>
        <w:rPr>
          <w:color w:val="000000"/>
        </w:rPr>
        <w:t>STAR Methods</w:t>
      </w:r>
    </w:p>
    <w:p>
      <w:pPr>
        <w:spacing w:after="120" w:before="0" w:line="360" w:lineRule="auto"/>
        <w:jc w:val="both"/>
      </w:pPr>
      <w:r>
        <w:rPr>
          <w:b/>
          <w:sz w:val="22"/>
        </w:rPr>
        <w:t>Resource Availability</w:t>
      </w:r>
    </w:p>
    <w:p>
      <w:pPr>
        <w:spacing w:after="120" w:before="0" w:line="360" w:lineRule="auto"/>
        <w:jc w:val="both"/>
      </w:pPr>
      <w:r>
        <w:rPr>
          <w:sz w:val="22"/>
        </w:rPr>
        <w:t>This study did not generate new datasets or reagents. All analyses used publicly available metadata from NCBI GEO.</w:t>
      </w:r>
      <w:r>
        <w:rPr>
          <w:sz w:val="18"/>
          <w:vertAlign w:val="superscript"/>
        </w:rPr>
        <w:t>24</w:t>
      </w:r>
      <w:r>
        <w:rPr>
          <w:sz w:val="22"/>
        </w:rPr>
      </w:r>
    </w:p>
    <w:p>
      <w:pPr>
        <w:spacing w:after="120" w:before="0" w:line="360" w:lineRule="auto"/>
        <w:jc w:val="both"/>
      </w:pPr>
      <w:r>
        <w:rPr>
          <w:b/>
          <w:sz w:val="22"/>
        </w:rPr>
        <w:t>Method Details</w:t>
      </w:r>
    </w:p>
    <w:p>
      <w:pPr>
        <w:spacing w:after="120" w:before="0" w:line="360" w:lineRule="auto"/>
        <w:jc w:val="both"/>
      </w:pPr>
      <w:r>
        <w:rPr>
          <w:sz w:val="22"/>
        </w:rPr>
        <w:t>GEO Dataset Collection: We queried NCBI GEO for datasets matching 'iPSC OR ESC differentiation' (all organisms, all dataset types). Submission dates were extracted programmatically via the GEO API. A total of 6,101 datasets with valid month-level submission dates were retained for analysis.</w:t>
      </w:r>
    </w:p>
    <w:p>
      <w:pPr>
        <w:spacing w:after="120" w:before="0" w:line="360" w:lineRule="auto"/>
        <w:jc w:val="both"/>
      </w:pPr>
      <w:r>
        <w:rPr>
          <w:sz w:val="22"/>
        </w:rPr>
        <w:t>Country Assignment: Submitter affiliations were parsed to assign country of origin. For the natural experiment analysis, countries were grouped by academic year start month: Group A (March/April start: Japan, South Korea; n=250), Group B (September/October start: USA, UK, Germany, France, China, Canada; n=2,825), Group C (January/February start, Southern Hemisphere: Australia, New Zealand, Brazil; n=83).</w:t>
      </w:r>
    </w:p>
    <w:p>
      <w:pPr>
        <w:spacing w:after="120" w:before="0" w:line="360" w:lineRule="auto"/>
        <w:jc w:val="both"/>
      </w:pPr>
      <w:r>
        <w:rPr>
          <w:sz w:val="22"/>
        </w:rPr>
        <w:t>Statistical Analysis: Monthly distributions were tested for non-uniformity using Pearson's χ² goodness-of-fit test (expected: equal monthly proportions). Circular statistics (Rayleigh test for uniformity, circular mean direction) were computed following Mardia and Jupp.</w:t>
      </w:r>
      <w:r>
        <w:rPr>
          <w:sz w:val="18"/>
          <w:vertAlign w:val="superscript"/>
        </w:rPr>
        <w:t>25</w:t>
      </w:r>
      <w:r>
        <w:rPr>
          <w:sz w:val="22"/>
        </w:rPr>
        <w:t xml:space="preserve"> Sensitivity analyses excluded Japan-affiliated datasets to assess robustness. Solar activity correlations were assessed using Pearson's r on both raw and linearly detrended monthly time series.</w:t>
      </w:r>
    </w:p>
    <w:p>
      <w:pPr>
        <w:pStyle w:val="Heading2"/>
      </w:pPr>
      <w:r>
        <w:rPr>
          <w:color w:val="000000"/>
        </w:rPr>
        <w:t>References</w:t>
      </w:r>
    </w:p>
    <w:p>
      <w:pPr>
        <w:spacing w:after="60" w:before="0" w:line="276" w:lineRule="auto"/>
        <w:jc w:val="both"/>
      </w:pPr>
      <w:r>
        <w:rPr>
          <w:sz w:val="18"/>
        </w:rPr>
        <w:t xml:space="preserve">1. </w:t>
      </w:r>
      <w:r>
        <w:rPr>
          <w:sz w:val="18"/>
        </w:rPr>
        <w:t>Kirkeby A, Main H, Carpenter M. Pluripotent stem-cell-derived therapies in clinical trial: a 2025 update. Cell Stem Cell. 2025;32(1):10–37.</w:t>
      </w:r>
    </w:p>
    <w:p>
      <w:pPr>
        <w:spacing w:after="60" w:before="0" w:line="276" w:lineRule="auto"/>
        <w:jc w:val="both"/>
      </w:pPr>
      <w:r>
        <w:rPr>
          <w:sz w:val="18"/>
        </w:rPr>
        <w:t xml:space="preserve">2. </w:t>
      </w:r>
      <w:r>
        <w:rPr>
          <w:sz w:val="18"/>
        </w:rPr>
        <w:t>Yamanaka S. Pluripotent stem cell-based cell therapy—promise and challenges. Cell Stem Cell. 2020;27(4):523–531.</w:t>
      </w:r>
    </w:p>
    <w:p>
      <w:pPr>
        <w:spacing w:after="60" w:before="0" w:line="276" w:lineRule="auto"/>
        <w:jc w:val="both"/>
      </w:pPr>
      <w:r>
        <w:rPr>
          <w:sz w:val="18"/>
        </w:rPr>
        <w:t xml:space="preserve">3. </w:t>
      </w:r>
      <w:r>
        <w:rPr>
          <w:sz w:val="18"/>
        </w:rPr>
        <w:t>Volpato V, Smith J, Sandor C, et al. Reproducibility of molecular phenotypes after long-term differentiation to human iPSC-derived neurons: a multi-site omics study. Stem Cell Reports. 2018;11(4):897–911.</w:t>
      </w:r>
    </w:p>
    <w:p>
      <w:pPr>
        <w:spacing w:after="60" w:before="0" w:line="276" w:lineRule="auto"/>
        <w:jc w:val="both"/>
      </w:pPr>
      <w:r>
        <w:rPr>
          <w:sz w:val="18"/>
        </w:rPr>
        <w:t xml:space="preserve">4. </w:t>
      </w:r>
      <w:r>
        <w:rPr>
          <w:sz w:val="18"/>
        </w:rPr>
        <w:t>Volpato V, Webber C. Addressing variability in iPSC-derived models of human disease: guidelines to promote reproducibility. Dis Model Mech. 2020;13(1):dmm042317.</w:t>
      </w:r>
    </w:p>
    <w:p>
      <w:pPr>
        <w:spacing w:after="60" w:before="0" w:line="276" w:lineRule="auto"/>
        <w:jc w:val="both"/>
      </w:pPr>
      <w:r>
        <w:rPr>
          <w:sz w:val="18"/>
        </w:rPr>
        <w:t xml:space="preserve">5. </w:t>
      </w:r>
      <w:r>
        <w:rPr>
          <w:sz w:val="18"/>
        </w:rPr>
        <w:t>Ortmann D, Vallier L. Variability of human pluripotent stem cell lines. Curr Opin Genet Dev. 2017;46:179–185.</w:t>
      </w:r>
    </w:p>
    <w:p>
      <w:pPr>
        <w:spacing w:after="60" w:before="0" w:line="276" w:lineRule="auto"/>
        <w:jc w:val="both"/>
      </w:pPr>
      <w:r>
        <w:rPr>
          <w:sz w:val="18"/>
        </w:rPr>
        <w:t xml:space="preserve">6. </w:t>
      </w:r>
      <w:r>
        <w:rPr>
          <w:sz w:val="18"/>
        </w:rPr>
        <w:t>Cai J, Li X, Zhang Y, et al. Real-time monitoring reveals the effects of low concentrations of volatile organic compounds in the embryology laboratory. Hum Reprod. 2025;40(4):deaf008.</w:t>
      </w:r>
    </w:p>
    <w:p>
      <w:pPr>
        <w:spacing w:after="60" w:before="0" w:line="276" w:lineRule="auto"/>
        <w:jc w:val="both"/>
      </w:pPr>
      <w:r>
        <w:rPr>
          <w:sz w:val="18"/>
        </w:rPr>
        <w:t xml:space="preserve">7. </w:t>
      </w:r>
      <w:r>
        <w:rPr>
          <w:sz w:val="18"/>
        </w:rPr>
        <w:t>Worrilow KC, Huynh HT, Gwozdziewicz JB, et al. Volatile organic compounds and good laboratory practices in the IVF laboratory: the important parameters for successful outcome in extended culture. J IVF Reprod Med Genet. 2017;5:182.</w:t>
      </w:r>
    </w:p>
    <w:p>
      <w:pPr>
        <w:spacing w:after="60" w:before="0" w:line="276" w:lineRule="auto"/>
        <w:jc w:val="both"/>
      </w:pPr>
      <w:r>
        <w:rPr>
          <w:sz w:val="18"/>
        </w:rPr>
        <w:t xml:space="preserve">8. </w:t>
      </w:r>
      <w:r>
        <w:rPr>
          <w:sz w:val="18"/>
        </w:rPr>
        <w:t>Panina Y, Yamane J, Kobayashi K, Sone H, Fujibuchi W. Human ES and iPS cells display less drug resistance than differentiated cells, and naive-state induction further decreases drug resistance. J Toxicol Sci. 2021;46(3):131–142.</w:t>
      </w:r>
    </w:p>
    <w:p>
      <w:pPr>
        <w:spacing w:after="60" w:before="0" w:line="276" w:lineRule="auto"/>
        <w:jc w:val="both"/>
      </w:pPr>
      <w:r>
        <w:rPr>
          <w:sz w:val="18"/>
        </w:rPr>
        <w:t xml:space="preserve">9. </w:t>
      </w:r>
      <w:r>
        <w:rPr>
          <w:sz w:val="18"/>
        </w:rPr>
        <w:t>McCreery KP, Stubb A, Stephens R, et al. Mechano-osmotic signals control chromatin state and fate transitions in pluripotent stem cells. Nat Cell Biol. 2025;27(10):1757–1770.</w:t>
      </w:r>
    </w:p>
    <w:p>
      <w:pPr>
        <w:spacing w:after="60" w:before="0" w:line="276" w:lineRule="auto"/>
        <w:jc w:val="both"/>
      </w:pPr>
      <w:r>
        <w:rPr>
          <w:sz w:val="18"/>
        </w:rPr>
        <w:t xml:space="preserve">10. </w:t>
      </w:r>
      <w:r>
        <w:rPr>
          <w:sz w:val="18"/>
        </w:rPr>
        <w:t>Sato S, Hishida T, Kinouchi K, et al. The circadian clock CRY1 regulates pluripotent stem cell identity and somatic cell reprogramming. Cell Rep. 2023;42(6):112590.</w:t>
      </w:r>
    </w:p>
    <w:p>
      <w:pPr>
        <w:spacing w:after="60" w:before="0" w:line="276" w:lineRule="auto"/>
        <w:jc w:val="both"/>
      </w:pPr>
      <w:r>
        <w:rPr>
          <w:sz w:val="18"/>
        </w:rPr>
        <w:t xml:space="preserve">11. </w:t>
      </w:r>
      <w:r>
        <w:rPr>
          <w:sz w:val="18"/>
        </w:rPr>
        <w:t>Ameneiro C, Moreira T, Fuentes-Iglesias A, et al. BMAL1 coordinates energy metabolism and differentiation of pluripotent stem cells. Life Sci Alliance. 2020;3(5):e201900534.</w:t>
      </w:r>
    </w:p>
    <w:p>
      <w:pPr>
        <w:spacing w:after="60" w:before="0" w:line="276" w:lineRule="auto"/>
        <w:jc w:val="both"/>
      </w:pPr>
      <w:r>
        <w:rPr>
          <w:sz w:val="18"/>
        </w:rPr>
        <w:t xml:space="preserve">12. </w:t>
      </w:r>
      <w:r>
        <w:rPr>
          <w:sz w:val="18"/>
        </w:rPr>
        <w:t>Golan K, Kollet O, Markus RP, Lapidot T. Daily light and darkness onset and circadian rhythms metabolically synchronize hematopoietic stem cell differentiation and maintenance. Exp Hematol. 2019;78:1–10.</w:t>
      </w:r>
    </w:p>
    <w:p>
      <w:pPr>
        <w:spacing w:after="60" w:before="0" w:line="276" w:lineRule="auto"/>
        <w:jc w:val="both"/>
      </w:pPr>
      <w:r>
        <w:rPr>
          <w:sz w:val="18"/>
        </w:rPr>
        <w:t xml:space="preserve">13. </w:t>
      </w:r>
      <w:r>
        <w:rPr>
          <w:sz w:val="18"/>
        </w:rPr>
        <w:t>Bi S, Tang J, Zhang L, et al. Fine particulate matter reduces the pluripotency and proliferation of human embryonic stem cells through ROS induced AKT and ERK signaling pathway. Reprod Toxicol. 2020;96:231–240.</w:t>
      </w:r>
    </w:p>
    <w:p>
      <w:pPr>
        <w:spacing w:after="60" w:before="0" w:line="276" w:lineRule="auto"/>
        <w:jc w:val="both"/>
      </w:pPr>
      <w:r>
        <w:rPr>
          <w:sz w:val="18"/>
        </w:rPr>
        <w:t xml:space="preserve">14. </w:t>
      </w:r>
      <w:r>
        <w:rPr>
          <w:sz w:val="18"/>
        </w:rPr>
        <w:t>Chui JS-H, Izuel-Idoype T, Qualizza A, et al. Osmolar modulation drives reversible cell cycle exit and human pluripotent cell differentiation via NF-κB and WNT signaling. Adv Sci. 2024;11(7):2307554.</w:t>
      </w:r>
    </w:p>
    <w:p>
      <w:pPr>
        <w:spacing w:after="60" w:before="0" w:line="276" w:lineRule="auto"/>
        <w:jc w:val="both"/>
      </w:pPr>
      <w:r>
        <w:rPr>
          <w:sz w:val="18"/>
        </w:rPr>
        <w:t xml:space="preserve">15. </w:t>
      </w:r>
      <w:r>
        <w:rPr>
          <w:sz w:val="18"/>
        </w:rPr>
        <w:t>Mizuno M, Endo K, Katano H, et al. The environmental risk assessment of cell-processing facilities for cell therapy in a Japanese academic institution. PLoS One. 2020;15(8):e0236600.</w:t>
      </w:r>
    </w:p>
    <w:p>
      <w:pPr>
        <w:spacing w:after="60" w:before="0" w:line="276" w:lineRule="auto"/>
        <w:jc w:val="both"/>
      </w:pPr>
      <w:r>
        <w:rPr>
          <w:sz w:val="18"/>
        </w:rPr>
        <w:t xml:space="preserve">16. </w:t>
      </w:r>
      <w:r>
        <w:rPr>
          <w:sz w:val="18"/>
        </w:rPr>
        <w:t>Klein SG, Steckbauer A, Alsolami SM, et al. Toward best practices for controlling mammalian cell culture environments. Front Cell Dev Biol. 2022;10:788808.</w:t>
      </w:r>
    </w:p>
    <w:p>
      <w:pPr>
        <w:spacing w:after="60" w:before="0" w:line="276" w:lineRule="auto"/>
        <w:jc w:val="both"/>
      </w:pPr>
      <w:r>
        <w:rPr>
          <w:sz w:val="18"/>
        </w:rPr>
        <w:t xml:space="preserve">17. </w:t>
      </w:r>
      <w:r>
        <w:rPr>
          <w:sz w:val="18"/>
        </w:rPr>
        <w:t>Czyz J, Nikolova T, Schuderer J, et al. Non-thermal effects of power-line magnetic fields (50 Hz) on gene expression levels of pluripotent embryonic stem cells. Mutat Res. 2004;557(1):63–74.</w:t>
      </w:r>
    </w:p>
    <w:p>
      <w:pPr>
        <w:spacing w:after="60" w:before="0" w:line="276" w:lineRule="auto"/>
        <w:jc w:val="both"/>
      </w:pPr>
      <w:r>
        <w:rPr>
          <w:sz w:val="18"/>
        </w:rPr>
        <w:t xml:space="preserve">18. </w:t>
      </w:r>
      <w:r>
        <w:rPr>
          <w:sz w:val="18"/>
        </w:rPr>
        <w:t>Diatroptova MA, Kosyreva AM, Diatroptov ME. About 4-day rhythm of proliferative activity of L-929 cells in culture correlates with the intensity of secondary cosmic radiation fluctuations. Bull Exp Biol Med. 2022;172(5):561–565.</w:t>
      </w:r>
    </w:p>
    <w:p>
      <w:pPr>
        <w:spacing w:after="60" w:before="0" w:line="276" w:lineRule="auto"/>
        <w:jc w:val="both"/>
      </w:pPr>
      <w:r>
        <w:rPr>
          <w:sz w:val="18"/>
        </w:rPr>
        <w:t xml:space="preserve">19. </w:t>
      </w:r>
      <w:r>
        <w:rPr>
          <w:sz w:val="18"/>
        </w:rPr>
        <w:t>Leathersich SJ, Hart RJ, Wijs LA, et al. Season at the time of oocyte collection and frozen embryo transfer outcomes. Hum Reprod. 2023;38(9):1761–1770.</w:t>
      </w:r>
    </w:p>
    <w:p>
      <w:pPr>
        <w:spacing w:after="60" w:before="0" w:line="276" w:lineRule="auto"/>
        <w:jc w:val="both"/>
      </w:pPr>
      <w:r>
        <w:rPr>
          <w:sz w:val="18"/>
        </w:rPr>
        <w:t xml:space="preserve">20. </w:t>
      </w:r>
      <w:r>
        <w:rPr>
          <w:sz w:val="18"/>
        </w:rPr>
        <w:t>Wang C, Chen J, Lin Z, et al. The impact of season, temperature, and direct normal irradiance on IVF pregnancy outcomes: a retrospective cohort study. Int J Biometeorol. 2025;69:2053–2065.</w:t>
      </w:r>
    </w:p>
    <w:p>
      <w:pPr>
        <w:spacing w:after="60" w:before="0" w:line="276" w:lineRule="auto"/>
        <w:jc w:val="both"/>
      </w:pPr>
      <w:r>
        <w:rPr>
          <w:sz w:val="18"/>
        </w:rPr>
        <w:t xml:space="preserve">21. </w:t>
      </w:r>
      <w:r>
        <w:rPr>
          <w:sz w:val="18"/>
        </w:rPr>
        <w:t>Braga DPA, Setti A, Guilherme P, Iaconelli A Jr, Borges E Jr. Association between meteorological season and embryo quality in the era of morphokinetics. J Assist Reprod Genet. 2025;42:1287–1298.</w:t>
      </w:r>
    </w:p>
    <w:p>
      <w:pPr>
        <w:spacing w:after="60" w:before="0" w:line="276" w:lineRule="auto"/>
        <w:jc w:val="both"/>
      </w:pPr>
      <w:r>
        <w:rPr>
          <w:sz w:val="18"/>
        </w:rPr>
        <w:t xml:space="preserve">22. </w:t>
      </w:r>
      <w:r>
        <w:rPr>
          <w:sz w:val="18"/>
        </w:rPr>
        <w:t>Deng Q, Wu F, Wang J, et al. Association between season and pregnancy outcomes in fresh embryo transfer cycles: a systematic review and meta-analysis. Front Public Health. 2025;13:1660982.</w:t>
      </w:r>
    </w:p>
    <w:p>
      <w:pPr>
        <w:spacing w:after="60" w:before="0" w:line="276" w:lineRule="auto"/>
        <w:jc w:val="both"/>
      </w:pPr>
      <w:r>
        <w:rPr>
          <w:sz w:val="18"/>
        </w:rPr>
        <w:t xml:space="preserve">23. </w:t>
      </w:r>
      <w:r>
        <w:rPr>
          <w:sz w:val="18"/>
        </w:rPr>
        <w:t>Wang JP, Her WY, Meir YJ, Liu TS, Chang HL, Haung FL. Seasonal variation in cell cycle during early development of the mouse embryo. Reproduction. 1992;94(2):431–436.</w:t>
      </w:r>
    </w:p>
    <w:p>
      <w:pPr>
        <w:spacing w:after="60" w:before="0" w:line="276" w:lineRule="auto"/>
        <w:jc w:val="both"/>
      </w:pPr>
      <w:r>
        <w:rPr>
          <w:sz w:val="18"/>
        </w:rPr>
        <w:t xml:space="preserve">24. </w:t>
      </w:r>
      <w:r>
        <w:rPr>
          <w:sz w:val="18"/>
        </w:rPr>
        <w:t>Barrett T, Wilhite SE, Ledoux P, et al. NCBI GEO: archive for functional genomics data sets—update. Nucleic Acids Res. 2013;41(D):D991–D995.</w:t>
      </w:r>
    </w:p>
    <w:p>
      <w:pPr>
        <w:spacing w:after="60" w:before="0" w:line="276" w:lineRule="auto"/>
        <w:jc w:val="both"/>
      </w:pPr>
      <w:r>
        <w:rPr>
          <w:sz w:val="18"/>
        </w:rPr>
        <w:t xml:space="preserve">25. </w:t>
      </w:r>
      <w:r>
        <w:rPr>
          <w:sz w:val="18"/>
        </w:rPr>
        <w:t>Mardia KV, Jupp PE. Directional Statistics. Wiley; 2000.</w:t>
      </w:r>
    </w:p>
    <w:p>
      <w:pPr>
        <w:spacing w:after="60" w:before="0" w:line="276" w:lineRule="auto"/>
        <w:jc w:val="both"/>
      </w:pPr>
      <w:r>
        <w:rPr>
          <w:sz w:val="18"/>
        </w:rPr>
        <w:t xml:space="preserve">26. </w:t>
      </w:r>
      <w:r>
        <w:rPr>
          <w:sz w:val="18"/>
        </w:rPr>
        <w:t>Karagiannis P, Takahashi K, Saito M, et al. Induced pluripotent stem cells and their use in human models of disease and development. Physiol Rev. 2019;99(1):79–114.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