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Highlights</w:t>
      </w:r>
    </w:p>
    <w:p>
      <w:pPr>
        <w:pStyle w:val="ListBullet"/>
      </w:pPr>
      <w:r>
        <w:t>Scoping review of 2,169 records yields 18 direct micromobility studies.</w:t>
      </w:r>
    </w:p>
    <w:p>
      <w:pPr>
        <w:pStyle w:val="ListBullet"/>
      </w:pPr>
      <w:r>
        <w:t>Global audit of 1,428 public GBFS systems maps disclosed vehicle fields.</w:t>
      </w:r>
    </w:p>
    <w:p>
      <w:pPr>
        <w:pStyle w:val="ListBullet"/>
      </w:pPr>
      <w:r>
        <w:t>Vehicle identifiers appear in 100% of 813 motorized micromobility feeds.</w:t>
      </w:r>
    </w:p>
    <w:p>
      <w:pPr>
        <w:pStyle w:val="ListBullet"/>
      </w:pPr>
      <w:r>
        <w:t>Operator privacy notices omit disposal and vulnerability-reporting details.</w:t>
      </w:r>
    </w:p>
    <w:p>
      <w:pPr>
        <w:pStyle w:val="ListBullet"/>
      </w:pPr>
      <w:r>
        <w:t>Findings are field-presence signals, not evidence of privacy harm.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