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Lifecycle Data Exposure in Shared Micromobility: A Scoping Review and a Global Audit of Public GBFS Vehicle Feeds and Operator Disclosures</w:t>
      </w:r>
    </w:p>
    <w:p>
      <w:pPr>
        <w:pStyle w:val="Heading1"/>
      </w:pPr>
      <w:r>
        <w:t>Abstract</w:t>
      </w:r>
    </w:p>
    <w:p>
      <w:pPr>
        <w:jc w:val="both"/>
      </w:pPr>
      <w:r>
        <w:rPr>
          <w:b/>
        </w:rPr>
        <w:t xml:space="preserve">Background: </w:t>
      </w:r>
      <w:r>
        <w:t>Shared micromobility produces continuous location, motion, and battery telemetry, yet evidence on data exposure is scattered and the device lifecycle beyond real-time position is rarely examined.</w:t>
      </w:r>
    </w:p>
    <w:p>
      <w:pPr>
        <w:jc w:val="both"/>
      </w:pPr>
      <w:r>
        <w:rPr>
          <w:b/>
        </w:rPr>
        <w:t xml:space="preserve">Objective: </w:t>
      </w:r>
      <w:r>
        <w:t>To map the direct evidence for micromobility data exposure, to measure which vehicle fields operators publish worldwide, and to assess how completely operators disclose lifecycle data handling.</w:t>
      </w:r>
    </w:p>
    <w:p>
      <w:pPr>
        <w:jc w:val="both"/>
      </w:pPr>
      <w:r>
        <w:rPr>
          <w:b/>
        </w:rPr>
        <w:t xml:space="preserve">Methods: </w:t>
      </w:r>
      <w:r>
        <w:t>We combined a scoping review reported using the Preferred Reporting Items for Systematic Reviews and Meta-Analyses extension for Scoping Reviews (PRISMA-ScR) of 2,169 records, a cross-sectional field audit of public General Bikeshare Feed Specification (GBFS) feeds, and a structured disclosure audit of public operator privacy notices across 14 domains, using deterministic screening and explicit denominators with 95% Wilson confidence intervals (CIs).</w:t>
      </w:r>
    </w:p>
    <w:p>
      <w:pPr>
        <w:jc w:val="both"/>
      </w:pPr>
      <w:r>
        <w:rPr>
          <w:b/>
        </w:rPr>
        <w:t xml:space="preserve">Results: </w:t>
      </w:r>
      <w:r>
        <w:t>Eighteen direct studies were included (5 direct-empirical, D4; 9 direct-documentary, D3; 4 near-domain, D2), with the strongest evidence at the operation stage. Across 813 motorized micromobility feeds, vehicle identifiers appeared in 100% and coordinates in 99.4%, while battery percentage appeared in 68.9%. Operator notices documented operational processing thoroughly but were silent on device disposal and vulnerability reporting.</w:t>
      </w:r>
    </w:p>
    <w:p>
      <w:pPr>
        <w:jc w:val="both"/>
      </w:pPr>
      <w:r>
        <w:rPr>
          <w:b/>
        </w:rPr>
        <w:t xml:space="preserve">Conclusions: </w:t>
      </w:r>
      <w:r>
        <w:t>Persistent identifiers and precise positions are widely disclosed, and lifecycle end-of-life handling is largely undocumented. These are disclosure and evidence signals, not demonstrations of harm; we propose a lifecycle model whose controls remain to be validated.</w:t>
      </w:r>
    </w:p>
    <w:p>
      <w:r>
        <w:rPr>
          <w:b/>
        </w:rPr>
        <w:t xml:space="preserve">Keywords: </w:t>
      </w:r>
      <w:r>
        <w:t>shared micromobility; location privacy; General Bikeshare Feed Specification; scoping review; data lifecycle; connected-device security</w:t>
      </w:r>
    </w:p>
    <w:p>
      <w:pPr>
        <w:pStyle w:val="Heading1"/>
      </w:pPr>
      <w:r>
        <w:t>1. Introduction</w:t>
      </w:r>
    </w:p>
    <w:p>
      <w:pPr>
        <w:ind w:firstLine="432"/>
        <w:jc w:val="both"/>
      </w:pPr>
      <w:r>
        <w:rPr>
          <w:rFonts w:ascii="Times New Roman" w:hAnsi="Times New Roman"/>
          <w:sz w:val="24"/>
        </w:rPr>
        <w:t>Shared micromobility - dockless electric scooters and bicycles rented through a smartphone application - has become a visible class of connected devices that organizations and the public use but do not own, maintain, or decommission. Each vehicle continuously produces location, motion, and battery telemetry that is transmitted to an operator backend and, in many cities, republished through open data feeds. Prior work has shown that such telemetry can support re-identification and tracking well beyond the individual rental that generated it [1,2].</w:t>
      </w:r>
    </w:p>
    <w:p>
      <w:pPr>
        <w:ind w:firstLine="432"/>
        <w:jc w:val="both"/>
      </w:pPr>
      <w:r>
        <w:rPr>
          <w:rFonts w:ascii="Times New Roman" w:hAnsi="Times New Roman"/>
          <w:sz w:val="24"/>
        </w:rPr>
        <w:t>Security research on shared micromobility has grown quickly but unevenly. Studies span privacy measurement of rental applications, firmware and protocol attacks on scooters, location-spoofing threats, and forensic recovery from returned devices [3-6]. These contributions are scattered across security, transportation, and forensics venues, use different threat models and units of analysis, and have not been assembled into a single map of what is actually demonstrated as opposed to argued. As a result, it is difficult to state precisely which data-exposure pathways rest on direct empirical evidence and which rest on analogy.</w:t>
      </w:r>
    </w:p>
    <w:p>
      <w:pPr>
        <w:ind w:firstLine="432"/>
        <w:jc w:val="both"/>
      </w:pPr>
      <w:r>
        <w:rPr>
          <w:rFonts w:ascii="Times New Roman" w:hAnsi="Times New Roman"/>
          <w:sz w:val="24"/>
        </w:rPr>
        <w:t>A second gap concerns exposure that persists across the device lifecycle. Attention typically concentrates on real-time position during a rental, yet information created at deployment, maintenance, recall, and disposal can remain accessible after custody changes hands [7,8]. Battery and diagnostic channels, in particular, can leak activity patterns even when positioning is restricted [9,10]. Whether operators disclose these lifecycle practices to the public is largely unexamined.</w:t>
      </w:r>
    </w:p>
    <w:p>
      <w:pPr>
        <w:ind w:firstLine="432"/>
        <w:jc w:val="both"/>
      </w:pPr>
      <w:r>
        <w:rPr>
          <w:rFonts w:ascii="Times New Roman" w:hAnsi="Times New Roman"/>
          <w:sz w:val="24"/>
        </w:rPr>
        <w:t>This article addresses both gaps with an empirical, reproducible package rather than a conceptual argument. We (i) conduct a scoping review, following the Preferred Reporting Items for Systematic Reviews and Meta-Analyses extension for Scoping Reviews (PRISMA-ScR) [11], of evidence on micromobility data exposure; (ii) audit the fields that operators actually publish worldwide through the General Bikeshare Feed Specification (GBFS) [12]; and (iii) audit what a matched set of operator privacy notices discloses about collection, retention, transfer, and device end-of-life. Our research questions are: RQ1, what data-exposure pathways in shared micromobility are supported by direct evidence; RQ2, which vehicle-level fields are publicly disclosed, and at what prevalence; and RQ3, how completely do public operator documents describe lifecycle data handling.</w:t>
      </w:r>
    </w:p>
    <w:p>
      <w:pPr>
        <w:ind w:firstLine="432"/>
        <w:jc w:val="both"/>
      </w:pPr>
      <w:r>
        <w:rPr>
          <w:rFonts w:ascii="Times New Roman" w:hAnsi="Times New Roman"/>
          <w:sz w:val="24"/>
        </w:rPr>
        <w:t>We are deliberately conservative about interpretation. Publishing a field, or remaining silent about a practice, is a disclosure signal; it is not by itself evidence of a privacy harm, a compromise, or a regulatory violation. The contribution is a transparent evidence base and a lifecycle model that ties each stage to the strength of its supporting evidence and to controls whose effectiveness remains to be tested.</w:t>
      </w:r>
    </w:p>
    <w:p>
      <w:pPr>
        <w:pStyle w:val="Heading1"/>
      </w:pPr>
      <w:r>
        <w:t>2. Methods</w:t>
      </w:r>
    </w:p>
    <w:p>
      <w:pPr>
        <w:pStyle w:val="Heading2"/>
      </w:pPr>
      <w:r>
        <w:t>2.1. Design and reporting</w:t>
      </w:r>
    </w:p>
    <w:p>
      <w:pPr>
        <w:ind w:firstLine="432"/>
        <w:jc w:val="both"/>
      </w:pPr>
      <w:r>
        <w:rPr>
          <w:rFonts w:ascii="Times New Roman" w:hAnsi="Times New Roman"/>
          <w:sz w:val="24"/>
        </w:rPr>
        <w:t>The study combines three prespecified components: a scoping review (work package WP1), a cross-sectional field audit of public GBFS feeds (WP2), and a structured disclosure audit of public operator documents (WP3). The review component is reported in line with PRISMA-ScR [11] and follows the scoping-review framework of Arksey and O'Malley [13]. Eligibility criteria and data sources for all three components are summarized in Table 1. The protocol, screening rules, coding sheets, and analysis code are openly available so that the counts reported here can be regenerated.</w:t>
      </w:r>
    </w:p>
    <w:p>
      <w:pPr>
        <w:pStyle w:val="Heading2"/>
      </w:pPr>
      <w:r>
        <w:t>2.2. Scoping review (WP1)</w:t>
      </w:r>
    </w:p>
    <w:p>
      <w:pPr>
        <w:ind w:firstLine="432"/>
        <w:jc w:val="both"/>
      </w:pPr>
      <w:r>
        <w:rPr>
          <w:rFonts w:ascii="Times New Roman" w:hAnsi="Times New Roman"/>
          <w:sz w:val="24"/>
        </w:rPr>
        <w:t>We compiled 2,169 records from programmatic searches of open bibliographic metadata. Abstracts were retrieved automatically where a digital object identifier (DOI) was available (1,539 of 2,116 DOI records; 72.7%); the remaining records were screened on title and available metadata only. Title/abstract screening applied a deterministic rule set that combined target-domain relevance with the presence of a described data path, and recorded a decision and reason for every record. Because the rules are deterministic, we re-applied them to a delayed 20% sample (n = 447) and reproduced every original decision (100% agreement); this demonstrates computational reproducibility rather than inter-rater reliability, as a single reviewer conducted the screening.</w:t>
      </w:r>
    </w:p>
    <w:p>
      <w:pPr>
        <w:ind w:firstLine="432"/>
        <w:jc w:val="both"/>
      </w:pPr>
      <w:r>
        <w:rPr>
          <w:rFonts w:ascii="Times New Roman" w:hAnsi="Times New Roman"/>
          <w:sz w:val="24"/>
        </w:rPr>
        <w:t>Records marked include or uncertain were sought for full-text assessment. Each retrieved study was classified by evidence distance: D4, direct target-domain empirical evidence; D3, direct target-domain documentary evidence; D2, near-domain empirical evidence; D1, mechanism analogy; and N, normative evidence. We did not treat a title/abstract decision as equivalent to a confirmed full-text finding, and we did not claim to have read full text that could not be retrieved. From the included studies we built a study-level extraction table capturing device or service, design, data fields, access path, reported outcome, and limitations.</w:t>
      </w:r>
    </w:p>
    <w:p>
      <w:pPr>
        <w:pStyle w:val="Heading2"/>
      </w:pPr>
      <w:r>
        <w:t>2.3. Public GBFS field audit (WP2)</w:t>
      </w:r>
    </w:p>
    <w:p>
      <w:pPr>
        <w:ind w:firstLine="432"/>
        <w:jc w:val="both"/>
      </w:pPr>
      <w:r>
        <w:rPr>
          <w:rFonts w:ascii="Times New Roman" w:hAnsi="Times New Roman"/>
          <w:sz w:val="24"/>
        </w:rPr>
        <w:t>We froze a snapshot of the public GBFS systems catalogue [14] and recorded its checksum. For each system we attempted to reach the auto-discovery endpoint, to locate a declared vehicle-status feed, to retrieve that feed, and to record which specification fields it contained. The unit of analysis is the system/feed. To respect the study's safety constraints, we recorded only the presence or absence of each field; raw vehicle identifiers, exact coordinates, and vehicle-specific deep links were not retained. Unavailable or empty feeds were separated from feeds that were retrieved but omitted a field, and all proportions are reported against explicit denominators with 95% Wilson confidence intervals (CIs). Because several large operators run many city systems, we also computed an operator-domain sensitivity analysis to check whether prevalence was driven by a few operators.</w:t>
      </w:r>
    </w:p>
    <w:p>
      <w:pPr>
        <w:pStyle w:val="Heading2"/>
      </w:pPr>
      <w:r>
        <w:t>2.4. Public-document disclosure audit (WP3)</w:t>
      </w:r>
    </w:p>
    <w:p>
      <w:pPr>
        <w:ind w:firstLine="432"/>
        <w:jc w:val="both"/>
      </w:pPr>
      <w:r>
        <w:rPr>
          <w:rFonts w:ascii="Times New Roman" w:hAnsi="Times New Roman"/>
          <w:sz w:val="24"/>
        </w:rPr>
        <w:t>We selected operators from the audited GBFS population and retrieved their public privacy notices. For each operator document we coded 14 disclosure domains - location; trip and time data; vehicle identifiers; battery or diagnostic data; maintenance or repair records; account, payment, and device data; analytics or profiling; retention; processors or contractors; international transfers; data-subject rights; incident contact; vulnerability disclosure; and device return, recycling, or disposal - using the values explicit, partial, not found, not applicable, and unavailable. A not-found coding means the document did not address the domain; it is not evidence that the practice does not occur. Each coding is accompanied by a short verbatim locator quotation in the coding sheet so that a third party can check it. Coding was computer-assisted and reviewed by a single reviewer; governance and standards documents [15-19] were used as reference points and were not coded as operator practices.</w:t>
      </w:r>
    </w:p>
    <w:p>
      <w:pPr>
        <w:pStyle w:val="Heading1"/>
      </w:pPr>
      <w:r>
        <w:t>3. Results</w:t>
      </w:r>
    </w:p>
    <w:p>
      <w:pPr>
        <w:pStyle w:val="Heading2"/>
      </w:pPr>
      <w:r>
        <w:t>3.1. Scoping review (RQ1)</w:t>
      </w:r>
    </w:p>
    <w:p>
      <w:pPr>
        <w:ind w:firstLine="432"/>
        <w:jc w:val="both"/>
      </w:pPr>
      <w:r>
        <w:rPr>
          <w:rFonts w:ascii="Times New Roman" w:hAnsi="Times New Roman"/>
          <w:sz w:val="24"/>
        </w:rPr>
        <w:t>Of 2,169 records screened, 1,945 were excluded at title/abstract and 224 were sought for full text (Fig. 1). Of these, 79 could not be retrieved and were recorded as such rather than assessed; 127 retrieved records were excluded because they contained no relevant data path (90) or described a mechanism that did not transfer to the target domain (37). Eighteen direct studies were included: 5 at evidence distance D4, 9 at D3, and 4 at D2 (Fig. 2; Table 2).</w:t>
      </w:r>
    </w:p>
    <w:p>
      <w:pPr>
        <w:ind w:firstLine="432"/>
        <w:jc w:val="both"/>
      </w:pPr>
      <w:r>
        <w:rPr>
          <w:rFonts w:ascii="Times New Roman" w:hAnsi="Times New Roman"/>
          <w:sz w:val="24"/>
        </w:rPr>
        <w:t>The included D4 studies provide the strongest evidence. A long-term real-world analysis reconstructed rider-relevant patterns from operator data [2]; investigative studies of rental applications and scooter ecosystems demonstrated collection and protocol weaknesses [3,4,20]; and a forensic analysis recovered data from micromobility devices [6]. D3 studies document platform architectures, location-spoofing threats, data-acquisition frameworks, and user-facing traceability concerns [5,21-28]. D2 studies transfer from adjacent domains: battery side channels and battery-management data [9,10], residual data in reused IoT devices [7], and cloud data remanence [8]. No included study, on its own, demonstrated an end-to-end lifecycle compromise; the evidence is strongest for operation and weakest for recall and disposal.</w:t>
      </w:r>
    </w:p>
    <w:p>
      <w:pPr>
        <w:pStyle w:val="Heading2"/>
      </w:pPr>
      <w:r>
        <w:t>3.2. Public GBFS field audit (RQ2)</w:t>
      </w:r>
    </w:p>
    <w:p>
      <w:pPr>
        <w:ind w:firstLine="432"/>
        <w:jc w:val="both"/>
      </w:pPr>
      <w:r>
        <w:rPr>
          <w:rFonts w:ascii="Times New Roman" w:hAnsi="Times New Roman"/>
          <w:sz w:val="24"/>
        </w:rPr>
        <w:t>Of 1,520 registry systems, 94.0% (95% CI 92.6-95.0%; n = 1,428) exposed a reachable auto-discovery endpoint, 90.8% of reachable systems declared a vehicle-status feed, and 89.5% of successfully retrieved feeds contained at least one vehicle (Table 3). Restricting to the 813 non-empty feeds that declared motorized micromobility, a vehicle identifier was present in 100.0% of feeds and latitude/longitude in 99.4% (Fig. 3). Fields with more operational specificity were less uniformly published: current range in 98.7%, vehicle-specific rental links in 79.1%, last-reported timestamps in 77.4%, and battery or fuel percentage in 68.9%.</w:t>
      </w:r>
    </w:p>
    <w:p>
      <w:pPr>
        <w:ind w:firstLine="432"/>
        <w:jc w:val="both"/>
      </w:pPr>
      <w:r>
        <w:rPr>
          <w:rFonts w:ascii="Times New Roman" w:hAnsi="Times New Roman"/>
          <w:sz w:val="24"/>
        </w:rPr>
        <w:t>The operator-domain sensitivity analysis indicates that these are not artefacts of a few large operators. Across 147 eligible operator domains, a vehicle identifier appeared in every eligible feed for 100.0% of domains and latitude/longitude for 96.6%, whereas battery percentage was present in at least one eligible feed for only 64.0% of domains. These figures describe what is disclosed publicly; they do not describe what operators collect or store on their backends, which the public feed cannot reveal.</w:t>
      </w:r>
    </w:p>
    <w:p>
      <w:pPr>
        <w:pStyle w:val="Heading2"/>
      </w:pPr>
      <w:r>
        <w:t>3.3. Public-document disclosure audit (RQ3)</w:t>
      </w:r>
    </w:p>
    <w:p>
      <w:pPr>
        <w:ind w:firstLine="432"/>
        <w:jc w:val="both"/>
      </w:pPr>
      <w:r>
        <w:rPr>
          <w:rFonts w:ascii="Times New Roman" w:hAnsi="Times New Roman"/>
          <w:sz w:val="24"/>
        </w:rPr>
        <w:t>We coded 13 operator privacy notices across 14 domains; two further operators could not be retrieved as reproducible text and were recorded as unavailable (Fig. 4; Table 4). Operational and account-level processing was disclosed almost universally: location data were explicit for 11 of 13 operators, and retention, processors or contractors, and account/payment/device data were explicit for most. Data-subject rights and international transfers were explicit or partial for the large majority, consistent with a predominantly European operator sample governed by the General Data Protection Regulation [29].</w:t>
      </w:r>
    </w:p>
    <w:p>
      <w:pPr>
        <w:ind w:firstLine="432"/>
        <w:jc w:val="both"/>
      </w:pPr>
      <w:r>
        <w:rPr>
          <w:rFonts w:ascii="Times New Roman" w:hAnsi="Times New Roman"/>
          <w:sz w:val="24"/>
        </w:rPr>
        <w:t>Disclosure was markedly thinner for device-centred and lifecycle domains. Battery or diagnostic data collection was not found in 8 of 13 notices, even though such data are technically central to these vehicles [9,10]. No operator notice in the sample described a vulnerability-disclosure channel (13 of 13 not found), and none addressed device return, recycling, or disposal handling (13 of 13 not found). We stress that these are gaps in public documents, not proof that the corresponding practices are absent; they nonetheless mark the parts of the lifecycle that are least visible to the public and to procuring organizations.</w:t>
      </w:r>
    </w:p>
    <w:p>
      <w:pPr>
        <w:pStyle w:val="Heading1"/>
      </w:pPr>
      <w:r>
        <w:t>4. Discussion</w:t>
      </w:r>
    </w:p>
    <w:p>
      <w:pPr>
        <w:ind w:firstLine="432"/>
        <w:jc w:val="both"/>
      </w:pPr>
      <w:r>
        <w:rPr>
          <w:rFonts w:ascii="Times New Roman" w:hAnsi="Times New Roman"/>
          <w:sz w:val="24"/>
        </w:rPr>
        <w:t>Read together, the three components describe a consistent pattern. Direct evidence for data exposure is concentrated in the operation stage, where audits and attack studies demonstrate collection, tracking, and re-identification potential [2-4]. The public feed audit shows that the raw materials for such analyses - persistent identifiers and precise positions - are disclosed at high prevalence worldwide, while more operationally sensitive fields are published less uniformly. The disclosure audit shows that operators describe operational data handling in detail but are largely silent on the device end-of-life and on security-reporting channels, which is exactly where the review found only near-domain (D2) evidence [7,8].</w:t>
      </w:r>
    </w:p>
    <w:p>
      <w:pPr>
        <w:ind w:firstLine="432"/>
        <w:jc w:val="both"/>
      </w:pPr>
      <w:r>
        <w:rPr>
          <w:rFonts w:ascii="Times New Roman" w:hAnsi="Times New Roman"/>
          <w:sz w:val="24"/>
        </w:rPr>
        <w:t>We integrate these observations in a six-stage lifecycle model that links each stage to the evidence distance of its supporting sources and to a proposed control (Fig. 5; Table 5). The model makes the strength of the underlying evidence explicit: procurement, deployment, operation, and maintenance are anchored by direct (D3-D4) evidence, whereas recall/return and second-life/disposal rest on near-domain (D2) analogy and on governance and standards guidance [17-19]. The controls - field minimization, local processing, access and retention limits, controlled contractor access, chain-of-custody for returned units, and verified media sanitization - are proposals whose effectiveness this study did not test; Table 5 records their effectiveness evidence conservatively.</w:t>
      </w:r>
    </w:p>
    <w:p>
      <w:pPr>
        <w:ind w:firstLine="432"/>
        <w:jc w:val="both"/>
      </w:pPr>
      <w:r>
        <w:rPr>
          <w:rFonts w:ascii="Times New Roman" w:hAnsi="Times New Roman"/>
          <w:sz w:val="24"/>
        </w:rPr>
        <w:t>For procuring organizations, the practical implication is that a narrow focus on real-time position understates exposure. A telemetry inventory that spans identifiers, timestamps, range, and battery state, and that follows devices through maintenance and disposal, is a more faithful basis for assessment than the intuition that coordinates alone are the only sensitive field.</w:t>
      </w:r>
    </w:p>
    <w:p>
      <w:pPr>
        <w:pStyle w:val="Heading2"/>
      </w:pPr>
      <w:r>
        <w:t>4.1. Limitations</w:t>
      </w:r>
    </w:p>
    <w:p>
      <w:pPr>
        <w:ind w:firstLine="432"/>
        <w:jc w:val="both"/>
      </w:pPr>
      <w:r>
        <w:rPr>
          <w:rFonts w:ascii="Times New Roman" w:hAnsi="Times New Roman"/>
          <w:sz w:val="24"/>
        </w:rPr>
        <w:t>Several limitations bound these findings. Screening and coding were performed by a single reviewer with computer assistance; although the process is deterministic and reproducible, it does not provide inter-rater reliability, and some included studies were characterized from abstracts and curated metadata rather than from independently reproduced experiments. The GBFS audit observes only what is published in public feeds at a single point in time; it cannot show what operators collect or retain internally, and field presence is not a measure of harm. The disclosure audit reflects the public documents we could retrieve; not-found codings denote silence, two operators were unavailable, and the operator sample is weighted toward European and North American providers. Finally, the lifecycle controls are proposals; validating them would require intervention studies or operator cooperation that were outside this study's scope.</w:t>
      </w:r>
    </w:p>
    <w:p>
      <w:pPr>
        <w:pStyle w:val="Heading1"/>
      </w:pPr>
      <w:r>
        <w:t>5. Conclusion</w:t>
      </w:r>
    </w:p>
    <w:p>
      <w:pPr>
        <w:ind w:firstLine="432"/>
        <w:jc w:val="both"/>
      </w:pPr>
      <w:r>
        <w:rPr>
          <w:rFonts w:ascii="Times New Roman" w:hAnsi="Times New Roman"/>
          <w:sz w:val="24"/>
        </w:rPr>
        <w:t>Shared micromobility offers a tractable, fully public setting in which to study lifecycle data exposure in connected devices that organizations use but do not control. A scoping review of 2,169 records identified 18 direct studies whose strongest evidence concerns the operation stage; a global audit of 1,428 public GBFS systems showed that persistent identifiers and precise positions are disclosed at high prevalence; and a disclosure audit showed that operators document operational processing thoroughly but are silent on device disposal and vulnerability reporting. These are disclosure and evidence signals, not demonstrations of harm. The lifecycle model and its traceability table turn them into an auditable agenda: extend assessment beyond real-time location, close the documentation gaps at end-of-life, and empirically validate the proposed controls.</w:t>
      </w:r>
    </w:p>
    <w:p>
      <w:pPr>
        <w:pStyle w:val="Heading1"/>
      </w:pPr>
      <w:r>
        <w:t>References</w:t>
      </w:r>
    </w:p>
    <w:p>
      <w:pPr>
        <w:ind w:firstLine="432"/>
        <w:jc w:val="both"/>
      </w:pPr>
      <w:r>
        <w:rPr>
          <w:rFonts w:ascii="Times New Roman" w:hAnsi="Times New Roman"/>
          <w:sz w:val="24"/>
        </w:rPr>
        <w:t>[1] de Montjoye Y-A, Hidalgo CA, Verleysen M, Blondel VD. Unique in the crowd: the privacy bounds of human mobility. Sci Rep. 2013;3:1376. doi:10.1038/srep01376.</w:t>
      </w:r>
    </w:p>
    <w:p>
      <w:pPr>
        <w:ind w:firstLine="432"/>
        <w:jc w:val="both"/>
      </w:pPr>
      <w:r>
        <w:rPr>
          <w:rFonts w:ascii="Times New Roman" w:hAnsi="Times New Roman"/>
          <w:sz w:val="24"/>
        </w:rPr>
        <w:t>[2] Elzer T, Ruben M, Classen J, Hollick M. They see me scooting: a long-term real-world data analysis of shared micro-mobility services. In: 2025 IEEE 10th European Symposium on Security and Privacy (EuroS&amp;P). IEEE; 2025. doi:10.1109/EuroSP63326.2025.00014.</w:t>
      </w:r>
    </w:p>
    <w:p>
      <w:pPr>
        <w:ind w:firstLine="432"/>
        <w:jc w:val="both"/>
      </w:pPr>
      <w:r>
        <w:rPr>
          <w:rFonts w:ascii="Times New Roman" w:hAnsi="Times New Roman"/>
          <w:sz w:val="24"/>
        </w:rPr>
        <w:t>[3] Vinayaga-Sureshkanth N, Maiti A, Jadliwala M, Crager K, He J, Rathore H. An investigative study on the privacy implications of mobile e-scooter rental apps. In: Proceedings of the 15th ACM Conference on Security and Privacy in Wireless and Mobile Networks (WiSec). ACM; 2022. doi:10.1145/3507657.3528551.</w:t>
      </w:r>
    </w:p>
    <w:p>
      <w:pPr>
        <w:ind w:firstLine="432"/>
        <w:jc w:val="both"/>
      </w:pPr>
      <w:r>
        <w:rPr>
          <w:rFonts w:ascii="Times New Roman" w:hAnsi="Times New Roman"/>
          <w:sz w:val="24"/>
        </w:rPr>
        <w:t>[4] Casagrande M, Losiouk E, Conti M, Payer M, Antonioli D. E-Spoofer: attacking and defending Xiaomi electric scooter ecosystem. In: Proceedings of the 16th ACM Conference on Security and Privacy in Wireless and Mobile Networks (WiSec). ACM; 2023. doi:10.1145/3558482.3590176.</w:t>
      </w:r>
    </w:p>
    <w:p>
      <w:pPr>
        <w:ind w:firstLine="432"/>
        <w:jc w:val="both"/>
      </w:pPr>
      <w:r>
        <w:rPr>
          <w:rFonts w:ascii="Times New Roman" w:hAnsi="Times New Roman"/>
          <w:sz w:val="24"/>
        </w:rPr>
        <w:t>[5] Yilmaz S, Karsligil ME. Geo-location spoofing on e-scooters: threat analysis and prevention framework. Balk J Electr Comput Eng. 2023;11(2). doi:10.17694/bajece.1231384.</w:t>
      </w:r>
    </w:p>
    <w:p>
      <w:pPr>
        <w:ind w:firstLine="432"/>
        <w:jc w:val="both"/>
      </w:pPr>
      <w:r>
        <w:rPr>
          <w:rFonts w:ascii="Times New Roman" w:hAnsi="Times New Roman"/>
          <w:sz w:val="24"/>
        </w:rPr>
        <w:t>[6] Hilgert J-N, Lambertz M, Rybalka M, Schell R, Vogt R. A forensic analysis of micromobility solutions. Forensic Sci Int Digit Investig. 2021;38:301137. doi:10.1016/j.fsidi.2021.301137.</w:t>
      </w:r>
    </w:p>
    <w:p>
      <w:pPr>
        <w:ind w:firstLine="432"/>
        <w:jc w:val="both"/>
      </w:pPr>
      <w:r>
        <w:rPr>
          <w:rFonts w:ascii="Times New Roman" w:hAnsi="Times New Roman"/>
          <w:sz w:val="24"/>
        </w:rPr>
        <w:t>[7] Liu Y, Zhou Z, Zhang J, et al. How IoT re-using threatens your sensitive data: exploring the user-data disposal in used IoT devices. In: 2023 IEEE Symposium on Security and Privacy (SP). IEEE; 2023. doi:10.1109/SP46215.2023.10179294.</w:t>
      </w:r>
    </w:p>
    <w:p>
      <w:pPr>
        <w:ind w:firstLine="432"/>
        <w:jc w:val="both"/>
      </w:pPr>
      <w:r>
        <w:rPr>
          <w:rFonts w:ascii="Times New Roman" w:hAnsi="Times New Roman"/>
          <w:sz w:val="24"/>
        </w:rPr>
        <w:t>[8] Joshi A, Raval MS. Standards and techniques to remove data remanence in cloud storage. In: 2018 IEEE Punecon. IEEE; 2018. doi:10.1109/PUNECON.2018.8745370.</w:t>
      </w:r>
    </w:p>
    <w:p>
      <w:pPr>
        <w:ind w:firstLine="432"/>
        <w:jc w:val="both"/>
      </w:pPr>
      <w:r>
        <w:rPr>
          <w:rFonts w:ascii="Times New Roman" w:hAnsi="Times New Roman"/>
          <w:sz w:val="24"/>
        </w:rPr>
        <w:t>[9] Marchiori A, Losiouk E, Conti M, Antonioli D. Leaky batteries: a novel set of side-channel attacks on electric vehicles. In: Computer Security - ESORICS 2025. Lecture Notes in Computer Science. Springer; 2025. doi:10.1007/978-3-032-00624-0_16.</w:t>
      </w:r>
    </w:p>
    <w:p>
      <w:pPr>
        <w:ind w:firstLine="432"/>
        <w:jc w:val="both"/>
      </w:pPr>
      <w:r>
        <w:rPr>
          <w:rFonts w:ascii="Times New Roman" w:hAnsi="Times New Roman"/>
          <w:sz w:val="24"/>
        </w:rPr>
        <w:t>[10] Basic F, Gaertner M, Steger C. Secure data acquisition for battery management systems. In: 2023 26th Euromicro Conference on Digital System Design (DSD). IEEE; 2023. doi:10.1109/DSD60849.2023.00082.</w:t>
      </w:r>
    </w:p>
    <w:p>
      <w:pPr>
        <w:ind w:firstLine="432"/>
        <w:jc w:val="both"/>
      </w:pPr>
      <w:r>
        <w:rPr>
          <w:rFonts w:ascii="Times New Roman" w:hAnsi="Times New Roman"/>
          <w:sz w:val="24"/>
        </w:rPr>
        <w:t>[11] Tricco AC, Lillie E, Zarin W, O'Brien KK, Colquhoun H, Levac D, et al. PRISMA Extension for Scoping Reviews (PRISMA-ScR): checklist and explanation. Ann Intern Med. 2018;169(7):467-473. doi:10.7326/M18-0850.</w:t>
      </w:r>
    </w:p>
    <w:p>
      <w:pPr>
        <w:ind w:firstLine="432"/>
        <w:jc w:val="both"/>
      </w:pPr>
      <w:r>
        <w:rPr>
          <w:rFonts w:ascii="Times New Roman" w:hAnsi="Times New Roman"/>
          <w:sz w:val="24"/>
        </w:rPr>
        <w:t>[12] MobilityData. General Bikeshare Feed Specification (GBFS), version 3.0. 2024. Available from: https://gbfs.org/ (accessed 12 July 2026).</w:t>
      </w:r>
    </w:p>
    <w:p>
      <w:pPr>
        <w:ind w:firstLine="432"/>
        <w:jc w:val="both"/>
      </w:pPr>
      <w:r>
        <w:rPr>
          <w:rFonts w:ascii="Times New Roman" w:hAnsi="Times New Roman"/>
          <w:sz w:val="24"/>
        </w:rPr>
        <w:t>[13] Arksey H, O'Malley L. Scoping studies: towards a methodological framework. Int J Soc Res Methodol. 2005;8(1):19-32. doi:10.1080/1364557032000119616.</w:t>
      </w:r>
    </w:p>
    <w:p>
      <w:pPr>
        <w:ind w:firstLine="432"/>
        <w:jc w:val="both"/>
      </w:pPr>
      <w:r>
        <w:rPr>
          <w:rFonts w:ascii="Times New Roman" w:hAnsi="Times New Roman"/>
          <w:sz w:val="24"/>
        </w:rPr>
        <w:t>[14] MobilityData. GBFS systems catalogue (systems.csv). 2026. Available from: https://github.com/MobilityData/gbfs (accessed 8 July 2026).</w:t>
      </w:r>
    </w:p>
    <w:p>
      <w:pPr>
        <w:ind w:firstLine="432"/>
        <w:jc w:val="both"/>
      </w:pPr>
      <w:r>
        <w:rPr>
          <w:rFonts w:ascii="Times New Roman" w:hAnsi="Times New Roman"/>
          <w:sz w:val="24"/>
        </w:rPr>
        <w:t>[15] Open Mobility Foundation. MDS privacy guide for cities. 2021. Available from: https://www.openmobilityfoundation.org/ (accessed 12 July 2026).</w:t>
      </w:r>
    </w:p>
    <w:p>
      <w:pPr>
        <w:ind w:firstLine="432"/>
        <w:jc w:val="both"/>
      </w:pPr>
      <w:r>
        <w:rPr>
          <w:rFonts w:ascii="Times New Roman" w:hAnsi="Times New Roman"/>
          <w:sz w:val="24"/>
        </w:rPr>
        <w:t>[16] European Data Protection Board. Guidelines 01/2020 on processing personal data in the context of connected vehicles and mobility related applications, version 2.0. 2021.</w:t>
      </w:r>
    </w:p>
    <w:p>
      <w:pPr>
        <w:ind w:firstLine="432"/>
        <w:jc w:val="both"/>
      </w:pPr>
      <w:r>
        <w:rPr>
          <w:rFonts w:ascii="Times New Roman" w:hAnsi="Times New Roman"/>
          <w:sz w:val="24"/>
        </w:rPr>
        <w:t>[17] Kissel R, Regenscheid A, Scholl M, Stine K. NIST Special Publication 800-88 Revision 1: Guidelines for media sanitization. National Institute of Standards and Technology; 2014. doi:10.6028/NIST.SP.800-88r1.</w:t>
      </w:r>
    </w:p>
    <w:p>
      <w:pPr>
        <w:ind w:firstLine="432"/>
        <w:jc w:val="both"/>
      </w:pPr>
      <w:r>
        <w:rPr>
          <w:rFonts w:ascii="Times New Roman" w:hAnsi="Times New Roman"/>
          <w:sz w:val="24"/>
        </w:rPr>
        <w:t>[18] Boyens J, Smith A, Bartol N, Winkler K, Holbrook A, Fallon M. NIST Special Publication 800-161 Revision 1: Cybersecurity supply chain risk management practices for systems and organizations. National Institute of Standards and Technology; 2022. doi:10.6028/NIST.SP.800-161r1.</w:t>
      </w:r>
    </w:p>
    <w:p>
      <w:pPr>
        <w:ind w:firstLine="432"/>
        <w:jc w:val="both"/>
      </w:pPr>
      <w:r>
        <w:rPr>
          <w:rFonts w:ascii="Times New Roman" w:hAnsi="Times New Roman"/>
          <w:sz w:val="24"/>
        </w:rPr>
        <w:t>[19] European Parliament and Council. Regulation (EU) 2023/1542 concerning batteries and waste batteries. Off J Eur Union. 2023;L191:1-117.</w:t>
      </w:r>
    </w:p>
    <w:p>
      <w:pPr>
        <w:ind w:firstLine="432"/>
        <w:jc w:val="both"/>
      </w:pPr>
      <w:r>
        <w:rPr>
          <w:rFonts w:ascii="Times New Roman" w:hAnsi="Times New Roman"/>
          <w:sz w:val="24"/>
        </w:rPr>
        <w:t>[20] Casagrande M, Losiouk E, Conti M, Payer M, Antonioli D. E-Trojans: ransomware, tracking, DoS, and data leaks on battery-powered embedded systems. arXiv:2411.17184; 2024. doi:10.48550/arXiv.2411.17184.</w:t>
      </w:r>
    </w:p>
    <w:p>
      <w:pPr>
        <w:ind w:firstLine="432"/>
        <w:jc w:val="both"/>
      </w:pPr>
      <w:r>
        <w:rPr>
          <w:rFonts w:ascii="Times New Roman" w:hAnsi="Times New Roman"/>
          <w:sz w:val="24"/>
        </w:rPr>
        <w:t>[21] Isik AB, Dag T, Ozkan K. E-scooter sharing platforms: understanding their architecture and cybersecurity threats. In: 2023 IEEE 26th International Conference on Intelligent Transportation Systems (ITSC). IEEE; 2023. doi:10.1109/ITSC57777.2023.10421849.</w:t>
      </w:r>
    </w:p>
    <w:p>
      <w:pPr>
        <w:ind w:firstLine="432"/>
        <w:jc w:val="both"/>
      </w:pPr>
      <w:r>
        <w:rPr>
          <w:rFonts w:ascii="Times New Roman" w:hAnsi="Times New Roman"/>
          <w:sz w:val="24"/>
        </w:rPr>
        <w:t>[22] Vinayaga-Sureshkanth N, Maiti A, Jadliwala M, Crager K, He J, Rathore H. Security and privacy challenges in upcoming intelligent urban micromobility transportation systems. In: Proceedings of the Second ACM Workshop on Automotive and Aerial Vehicle Security (AutoSec). ACM; 2020. doi:10.1145/3375706.3380559.</w:t>
      </w:r>
    </w:p>
    <w:p>
      <w:pPr>
        <w:ind w:firstLine="432"/>
        <w:jc w:val="both"/>
      </w:pPr>
      <w:r>
        <w:rPr>
          <w:rFonts w:ascii="Times New Roman" w:hAnsi="Times New Roman"/>
          <w:sz w:val="24"/>
        </w:rPr>
        <w:t>[23] Yilmaz S, Karsligil ME. Analysis of location spoofing threats on e-scooter sharing. In: 2022 30th Signal Processing and Communications Applications Conference (SIU). IEEE; 2022. doi:10.1109/SIU55565.2022.9864946.</w:t>
      </w:r>
    </w:p>
    <w:p>
      <w:pPr>
        <w:ind w:firstLine="432"/>
        <w:jc w:val="both"/>
      </w:pPr>
      <w:r>
        <w:rPr>
          <w:rFonts w:ascii="Times New Roman" w:hAnsi="Times New Roman"/>
          <w:sz w:val="24"/>
        </w:rPr>
        <w:t>[24] Sato K, Fukushima N, Fujii K, Kitani T. Data acquisition framework for micromobility vehicles toward driving risk prediction. IEEE Secur Priv. 2025;23(1). doi:10.1109/MSEC.2024.3441731.</w:t>
      </w:r>
    </w:p>
    <w:p>
      <w:pPr>
        <w:ind w:firstLine="432"/>
        <w:jc w:val="both"/>
      </w:pPr>
      <w:r>
        <w:rPr>
          <w:rFonts w:ascii="Times New Roman" w:hAnsi="Times New Roman"/>
          <w:sz w:val="24"/>
        </w:rPr>
        <w:t>[25] Li Y, Zhang X. Linking privacy concerns for traceable information and information privacy protective responses. In: Proceedings of the 53rd Hawaii International Conference on System Sciences (HICSS). 2020. doi:10.24251/HICSS.2020.105.</w:t>
      </w:r>
    </w:p>
    <w:p>
      <w:pPr>
        <w:ind w:firstLine="432"/>
        <w:jc w:val="both"/>
      </w:pPr>
      <w:r>
        <w:rPr>
          <w:rFonts w:ascii="Times New Roman" w:hAnsi="Times New Roman"/>
          <w:sz w:val="24"/>
        </w:rPr>
        <w:t>[26] Petersen ML. Scoot over smart devices: the invisible costs of rental scooters. Surveill Soc. 2019;17(1/2):267-273. doi:10.24908/ss.v17i1/2.13112.</w:t>
      </w:r>
    </w:p>
    <w:p>
      <w:pPr>
        <w:ind w:firstLine="432"/>
        <w:jc w:val="both"/>
      </w:pPr>
      <w:r>
        <w:rPr>
          <w:rFonts w:ascii="Times New Roman" w:hAnsi="Times New Roman"/>
          <w:sz w:val="24"/>
        </w:rPr>
        <w:t>[27] Zhou Y. Data extraction in dockless bikeshare: an analysis from users' perspective. Big Data Soc. 2024;11(4). doi:10.1177/20539517241299724.</w:t>
      </w:r>
    </w:p>
    <w:p>
      <w:pPr>
        <w:ind w:firstLine="432"/>
        <w:jc w:val="both"/>
      </w:pPr>
      <w:r>
        <w:rPr>
          <w:rFonts w:ascii="Times New Roman" w:hAnsi="Times New Roman"/>
          <w:sz w:val="24"/>
        </w:rPr>
        <w:t>[28] Hannemann A, Buchholz E, Ziegler D. Is homomorphic encryption feasible for smart mobility? In: Annals of Computer Science and Information Systems, vol. 35 (FedCSIS). 2023. doi:10.15439/2023F695.</w:t>
      </w:r>
    </w:p>
    <w:p>
      <w:pPr>
        <w:ind w:firstLine="432"/>
        <w:jc w:val="both"/>
      </w:pPr>
      <w:r>
        <w:rPr>
          <w:rFonts w:ascii="Times New Roman" w:hAnsi="Times New Roman"/>
          <w:sz w:val="24"/>
        </w:rPr>
        <w:t>[29] European Parliament and Council. Regulation (EU) 2016/679 (General Data Protection Regulation). Off J Eur Union. 2016;L119:1-88.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