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PRISMA-ScR reporting checklist</w:t>
      </w:r>
    </w:p>
    <w:p>
      <w:r>
        <w:t>The scoping-review component (WP1) follows the PRISMA-ScR checklist [Tricco et al., 2018]. The field audit (WP2) and disclosure audit (WP3) are cross-sectional observational studies of public artefacts and are reported with explicit denominators, confidence intervals, and open code. The table below maps each PRISMA-ScR item to its location.</w:t>
      </w:r>
    </w:p>
    <w:p>
      <w:pPr>
        <w:spacing w:before="280" w:after="120"/>
      </w:pPr>
      <w:r>
        <w:rPr>
          <w:b/>
        </w:rPr>
        <w:t>PRISMA-ScR item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31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Checklist description</w:t>
            </w:r>
          </w:p>
        </w:tc>
        <w:tc>
          <w:tcPr>
            <w:tcW w:type="dxa" w:w="31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Location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Identifies the report as a scoping review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 page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Abstract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Structured summary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Abstract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Rationale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Rationale in the context of what is known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Objectives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Research questions RQ1-RQ3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Protocol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Protocol availability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and code availability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Eligibility criteria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Characteristics used as criteria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2.2; Table 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Information sources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Sources searched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2.2; Table 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Selection of sources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Screening process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2.2; Fig. 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charting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Extraction process and items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2.2; Table 2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Synthesis of results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Methods of summarizing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Sections 3-4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Results of sources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Numbers screened and 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3.1; Fig. 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Results of syntheses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Charted results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Sections 3.1-3.3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Limitations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Limitations of the review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4.1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Conclusions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Interpretation and implications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5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Funding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Sources of funding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Declarations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