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Onishi Tatsuki</w:t>
      </w:r>
    </w:p>
    <w:p>
      <w:pPr>
        <w:spacing w:after="120" w:line="360" w:lineRule="auto"/>
        <w:ind w:firstLine="480"/>
      </w:pPr>
      <w:r>
        <w:rPr>
          <w:rFonts w:ascii="Times New Roman" w:hAnsi="Times New Roman" w:eastAsia="MS Mincho"/>
          <w:b w:val="0"/>
          <w:i w:val="0"/>
          <w:sz w:val="24"/>
        </w:rPr>
        <w:t>Data Science and AI Innovation Research Promotion Center, Shiga University</w:t>
      </w:r>
    </w:p>
    <w:p>
      <w:pPr>
        <w:spacing w:after="120" w:line="360" w:lineRule="auto"/>
        <w:ind w:firstLine="480"/>
      </w:pPr>
      <w:r>
        <w:rPr>
          <w:rFonts w:ascii="Times New Roman" w:hAnsi="Times New Roman" w:eastAsia="MS Mincho"/>
          <w:b w:val="0"/>
          <w:i w:val="0"/>
          <w:sz w:val="24"/>
        </w:rPr>
        <w:t>1-1-1, Bamba, Hikone, Shiga, 522-8522 Japan</w:t>
      </w:r>
    </w:p>
    <w:p>
      <w:pPr>
        <w:spacing w:after="120" w:line="360" w:lineRule="auto"/>
        <w:ind w:firstLine="480"/>
      </w:pPr>
      <w:r>
        <w:rPr>
          <w:rFonts w:ascii="Times New Roman" w:hAnsi="Times New Roman" w:eastAsia="MS Mincho"/>
          <w:b w:val="0"/>
          <w:i w:val="0"/>
          <w:sz w:val="24"/>
        </w:rPr>
        <w:t>Telephone: +81-749-27-1023. E-mail: bougtoir@gmail.com. ORCID: 0000-0001-7261-9062.</w:t>
      </w:r>
    </w:p>
    <w:p>
      <w:pPr>
        <w:spacing w:after="120" w:line="360" w:lineRule="auto"/>
        <w:ind w:firstLine="480"/>
      </w:pPr>
      <w:r>
        <w:rPr>
          <w:rFonts w:ascii="Times New Roman" w:hAnsi="Times New Roman" w:eastAsia="MS Mincho"/>
          <w:b/>
          <w:i w:val="0"/>
          <w:sz w:val="24"/>
        </w:rPr>
        <w:t>Statements and Declarations</w:t>
      </w: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360" w:lineRule="auto"/>
        <w:ind w:firstLine="480"/>
      </w:pPr>
      <w:r>
        <w:rPr>
          <w:rFonts w:ascii="Times New Roman" w:hAnsi="Times New Roman" w:eastAsia="MS Mincho"/>
          <w:b w:val="0"/>
          <w:i/>
          <w:sz w:val="24"/>
        </w:rPr>
        <w:t>Declaration of generative AI use.</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r>
        <w:br w:type="page"/>
      </w:r>
    </w:p>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35 OECD and middle-income economies (Penn World Table 10.01, World Bank CWON, 1950–2019),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without free parameters — shows that accounting for investment gestation lags changes measured capital by a median 4.3 % (range 0.6–9.2 %), shifts measured TFP by 1.7 percentage points, and shifts implied labour shares by 1.7 percentage points. These measurement consequences are largest in economies whose investment mix has shifted most toward long-gestation assets: Ireland (−9.2 %), Republic of Korea (−7.1 %), Israel (−6.4 %). A Solow-residual decomposition shows that up to 30 % of TFP-growth variance is attributable to tempo drift alone. Counterfactual wealth calculations indicate that official produced-capital figures understate intangible-adjusted wealth by 0.3–1.1 % for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Observable investment-composition shifts change measured capital stock by a median 4.3 %</w:t>
      </w:r>
    </w:p>
    <w:p>
      <w:pPr>
        <w:spacing w:after="120" w:line="360" w:lineRule="auto"/>
        <w:ind w:left="720" w:hanging="360"/>
      </w:pPr>
      <w:r>
        <w:rPr>
          <w:rFonts w:ascii="Times New Roman" w:hAnsi="Times New Roman" w:eastAsia="MS Mincho"/>
          <w:b w:val="0"/>
          <w:i w:val="0"/>
          <w:sz w:val="24"/>
        </w:rPr>
        <w:t>•  TFP shifts by 1.7 pp and implied labour share by 1.7 pp when capital is tempo-corrected</w:t>
      </w:r>
    </w:p>
    <w:p>
      <w:pPr>
        <w:spacing w:after="120" w:line="360" w:lineRule="auto"/>
        <w:ind w:left="720" w:hanging="360"/>
      </w:pPr>
      <w:r>
        <w:rPr>
          <w:rFonts w:ascii="Times New Roman" w:hAnsi="Times New Roman" w:eastAsia="MS Mincho"/>
          <w:b w:val="0"/>
          <w:i w:val="0"/>
          <w:sz w:val="24"/>
        </w:rPr>
        <w:t>•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findings without statistical fitting</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The macroeconomic stakes are concrete. An observable, parameter-free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(OECD, 2013) by weighting asset-specific gestation lags by their investment shares — shows that the tempo correction changes measured capital stocks by a median 4.3 % across 35 OECD and middle-income economies (Penn World Table 10.01, World Bank CWON, 1950–2019). This is not a forecasting result: it is a measurement consequence. When the capital stock changes, everything built on it changes: TFP shifts by a median 1.7 percentage points and the implied labour share shifts by 1.7 percentage points. The effects are largest in economies whose investment mix has shifted most toward long-gestation assets — Ireland (−9.2 %), Republic of Korea (−7.1 %), Israel (−6.4 %) — and smallest where the asset mix has been stable.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The joint corrections reconcile production-side (flow) and wealth-side (stock) national accounts to within 1–2 % for most countries.</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 For the observable-tempo construction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we use </w:t>
      </w:r>
      <w:r>
        <w:rPr>
          <w:rFonts w:ascii="Times New Roman" w:hAnsi="Times New Roman" w:eastAsia="MS Mincho"/>
          <w:b/>
          <w:i w:val="0"/>
          <w:sz w:val="24"/>
        </w:rPr>
        <w:t>OECD gross fixed capital formation by asset type</w:t>
      </w:r>
      <w:r>
        <w:rPr>
          <w:rFonts w:ascii="Times New Roman" w:hAnsi="Times New Roman" w:eastAsia="MS Mincho"/>
          <w:b w:val="0"/>
          <w:i w:val="0"/>
          <w:sz w:val="24"/>
        </w:rPr>
        <w:t xml:space="preserve"> (OECD.Stat, SNA Table 8A), which reports investment broken down by asset category (dwellings, other buildings, transport equipment, ICT equipment, other machinery, intellectual property products) for all OECD member states.</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 and M_obs</w:t>
      </w:r>
    </w:p>
    <w:p>
      <w:pPr>
        <w:spacing w:after="120" w:line="360" w:lineRule="auto"/>
        <w:ind w:firstLine="480"/>
      </w:pPr>
      <w:r>
        <w:rPr>
          <w:rFonts w:ascii="Times New Roman" w:hAnsi="Times New Roman" w:eastAsia="MS Mincho"/>
          <w:b w:val="0"/>
          <w:i w:val="0"/>
          <w:sz w:val="24"/>
        </w:rPr>
        <w:t>We estimate six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w:t>
      </w:r>
      <w:r>
        <w:rPr>
          <w:rFonts w:ascii="Times New Roman" w:hAnsi="Times New Roman" w:eastAsia="MS Mincho"/>
          <w:b/>
          <w:i/>
          <w:sz w:val="24"/>
          <w:vertAlign w:val="subscript"/>
        </w:rPr>
        <w:t>o</w:t>
      </w:r>
      <w:r>
        <w:rPr>
          <w:rFonts w:ascii="Times New Roman" w:hAnsi="Times New Roman" w:eastAsia="MS Mincho"/>
          <w:b/>
          <w:i w:val="0"/>
          <w:sz w:val="24"/>
        </w:rPr>
        <w:t>bs</w:t>
      </w:r>
      <w:r>
        <w:rPr>
          <w:rFonts w:ascii="Times New Roman" w:hAnsi="Times New Roman" w:eastAsia="MS Mincho"/>
          <w:b w:val="0"/>
          <w:i w:val="0"/>
          <w:sz w:val="24"/>
        </w:rPr>
        <w:t xml:space="preserve">: Observable tempo, where </w:t>
      </w:r>
      <w:r>
        <w:rPr>
          <w:rFonts w:ascii="Times New Roman" w:hAnsi="Times New Roman" w:eastAsia="MS Mincho"/>
          <w:b w:val="0"/>
          <w:i/>
          <w:sz w:val="24"/>
        </w:rPr>
        <w:t>μ</w:t>
      </w:r>
      <w:r>
        <w:rPr>
          <w:rFonts w:ascii="Times New Roman" w:hAnsi="Times New Roman" w:eastAsia="MS Mincho"/>
          <w:b w:val="0"/>
          <w:i w:val="0"/>
          <w:sz w:val="24"/>
        </w:rPr>
        <w:t xml:space="preserve">(t) is constructed directly from OECD gross fixed capital formation (GFCF) by asset type. For each country-year, the share of investment in each asset category (dwellings, other buildings, transport equipment, ICT equipment, machinery, intellectual property products) is computed from OECD GFCF data, and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w:t>
      </w:r>
      <w:r>
        <w:rPr>
          <w:rFonts w:ascii="Times New Roman" w:hAnsi="Times New Roman" w:eastAsia="MS Mincho"/>
          <w:b w:val="0"/>
          <w:i/>
          <w:sz w:val="24"/>
        </w:rPr>
        <w:t>Σ</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where s</w:t>
      </w:r>
      <w:r>
        <w:rPr>
          <w:rFonts w:ascii="Times New Roman" w:hAnsi="Times New Roman" w:eastAsia="MS Mincho"/>
          <w:b w:val="0"/>
          <w:i/>
          <w:sz w:val="24"/>
          <w:vertAlign w:val="subscript"/>
        </w:rPr>
        <w:t>a</w:t>
      </w:r>
      <w:r>
        <w:rPr>
          <w:rFonts w:ascii="Times New Roman" w:hAnsi="Times New Roman" w:eastAsia="MS Mincho"/>
          <w:b w:val="0"/>
          <w:i w:val="0"/>
          <w:sz w:val="24"/>
        </w:rPr>
        <w:t xml:space="preserve">(t) is the share of asset </w:t>
      </w:r>
      <w:r>
        <w:rPr>
          <w:rFonts w:ascii="Times New Roman" w:hAnsi="Times New Roman" w:eastAsia="MS Mincho"/>
          <w:b w:val="0"/>
          <w:i/>
          <w:sz w:val="24"/>
        </w:rPr>
        <w:t>a</w:t>
      </w:r>
      <w:r>
        <w:rPr>
          <w:rFonts w:ascii="Times New Roman" w:hAnsi="Times New Roman" w:eastAsia="MS Mincho"/>
          <w:b w:val="0"/>
          <w:i w:val="0"/>
          <w:sz w:val="24"/>
        </w:rPr>
        <w:t xml:space="preserve"> in total GFCF and </w:t>
      </w:r>
      <w:r>
        <w:rPr>
          <w:rFonts w:ascii="Times New Roman" w:hAnsi="Times New Roman" w:eastAsia="MS Mincho"/>
          <w:b w:val="0"/>
          <w:i/>
          <w:sz w:val="24"/>
        </w:rPr>
        <w:t>μ</w:t>
      </w:r>
      <w:r>
        <w:rPr>
          <w:rFonts w:ascii="Times New Roman" w:hAnsi="Times New Roman" w:eastAsia="MS Mincho"/>
          <w:b w:val="0"/>
          <w:i/>
          <w:sz w:val="24"/>
          <w:vertAlign w:val="subscript"/>
        </w:rPr>
        <w:t>a</w:t>
      </w:r>
      <w:r>
        <w:rPr>
          <w:rFonts w:ascii="Times New Roman" w:hAnsi="Times New Roman" w:eastAsia="MS Mincho"/>
          <w:b w:val="0"/>
          <w:i w:val="0"/>
          <w:sz w:val="24"/>
        </w:rPr>
        <w:t xml:space="preserve"> is the literature-based gestation lag for asset </w:t>
      </w:r>
      <w:r>
        <w:rPr>
          <w:rFonts w:ascii="Times New Roman" w:hAnsi="Times New Roman" w:eastAsia="MS Mincho"/>
          <w:b w:val="0"/>
          <w:i/>
          <w:sz w:val="24"/>
        </w:rPr>
        <w:t>a</w:t>
      </w:r>
      <w:r>
        <w:rPr>
          <w:rFonts w:ascii="Times New Roman" w:hAnsi="Times New Roman" w:eastAsia="MS Mincho"/>
          <w:b w:val="0"/>
          <w:i w:val="0"/>
          <w:sz w:val="24"/>
        </w:rPr>
        <w:t xml:space="preserve"> (dwellings and other buildings: 2.0 years; transport equipment: 0.5 years; ICT equipment: 0.3 years; machinery: 0.8 years; intellectual property products: 3.0 years).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has </w:t>
      </w:r>
      <w:r>
        <w:rPr>
          <w:rFonts w:ascii="Times New Roman" w:hAnsi="Times New Roman" w:eastAsia="MS Mincho"/>
          <w:b/>
          <w:i w:val="0"/>
          <w:sz w:val="24"/>
        </w:rPr>
        <w:t>zero free parameters</w:t>
      </w:r>
      <w:r>
        <w:rPr>
          <w:rFonts w:ascii="Times New Roman" w:hAnsi="Times New Roman" w:eastAsia="MS Mincho"/>
          <w:b w:val="0"/>
          <w:i w:val="0"/>
          <w:sz w:val="24"/>
        </w:rPr>
        <w:t>: the capital stock K</w:t>
      </w:r>
      <w:r>
        <w:rPr>
          <w:rFonts w:ascii="Times New Roman" w:hAnsi="Times New Roman" w:eastAsia="MS Mincho"/>
          <w:b w:val="0"/>
          <w:i/>
          <w:sz w:val="24"/>
          <w:vertAlign w:val="subscript"/>
        </w:rPr>
        <w:t>o</w:t>
      </w:r>
      <w:r>
        <w:rPr>
          <w:rFonts w:ascii="Times New Roman" w:hAnsi="Times New Roman" w:eastAsia="MS Mincho"/>
          <w:b w:val="0"/>
          <w:i w:val="0"/>
          <w:sz w:val="24"/>
        </w:rPr>
        <w:t>bs(t) is determined entirely by observable investment composition and published gestation lags. This makes M</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immune to the critique that </w:t>
      </w:r>
      <w:r>
        <w:rPr>
          <w:rFonts w:ascii="Times New Roman" w:hAnsi="Times New Roman" w:eastAsia="MS Mincho"/>
          <w:b w:val="0"/>
          <w:i/>
          <w:sz w:val="24"/>
        </w:rPr>
        <w:t>μ</w:t>
      </w:r>
      <w:r>
        <w:rPr>
          <w:rFonts w:ascii="Times New Roman" w:hAnsi="Times New Roman" w:eastAsia="MS Mincho"/>
          <w:b w:val="0"/>
          <w:i w:val="0"/>
          <w:sz w:val="24"/>
        </w:rPr>
        <w:t xml:space="preserve"> is a fitting parameter, since nothing is fitted.</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out-of-sample performance.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 The observable-tempo M</w:t>
      </w:r>
      <w:r>
        <w:rPr>
          <w:rFonts w:ascii="Times New Roman" w:hAnsi="Times New Roman" w:eastAsia="MS Mincho"/>
          <w:b w:val="0"/>
          <w:i/>
          <w:sz w:val="24"/>
          <w:vertAlign w:val="subscript"/>
        </w:rPr>
        <w:t>o</w:t>
      </w:r>
      <w:r>
        <w:rPr>
          <w:rFonts w:ascii="Times New Roman" w:hAnsi="Times New Roman" w:eastAsia="MS Mincho"/>
          <w:b w:val="0"/>
          <w:i w:val="0"/>
          <w:sz w:val="24"/>
        </w:rPr>
        <w:t>bs achieves a median MAPE of 4.17 %, a 9.5 % improvement over M0, obtained with zero free parameters — confirming that the documented investment-composition shift alone, without any statistical fitting, is sufficient to improve the capital-stock construction.</w:t>
      </w:r>
    </w:p>
    <w:p>
      <w:pPr>
        <w:spacing w:after="120" w:line="360" w:lineRule="auto"/>
        <w:ind w:firstLine="480"/>
      </w:pPr>
      <w:r>
        <w:rPr>
          <w:rFonts w:ascii="Times New Roman" w:hAnsi="Times New Roman" w:eastAsia="MS Mincho"/>
          <w:b w:val="0"/>
          <w:i w:val="0"/>
          <w:sz w:val="24"/>
        </w:rPr>
        <w:t xml:space="preserve">We note, however, that out-of-sample prediction accuracy is not evidence of measurement quality </w:t>
      </w:r>
      <w:r>
        <w:rPr>
          <w:rFonts w:ascii="Times New Roman" w:hAnsi="Times New Roman" w:eastAsia="MS Mincho"/>
          <w:b w:val="0"/>
          <w:i/>
          <w:sz w:val="24"/>
        </w:rPr>
        <w:t>per se</w:t>
      </w:r>
      <w:r>
        <w:rPr>
          <w:rFonts w:ascii="Times New Roman" w:hAnsi="Times New Roman" w:eastAsia="MS Mincho"/>
          <w:b w:val="0"/>
          <w:i w:val="0"/>
          <w:sz w:val="24"/>
        </w:rPr>
        <w:t>: selecting a capital series by how well it tracks output risks folding output variation into the capital measure. The substantive measurement case for the tempo correction is developed in Sect. 5.10, where we show that the correction changes measured capital levels, TFP, and implied labour shares in ways that are independent of forecast performance.</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A natural concern (discussed further in Sect. 6.7) is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Capital-level measurement consequences of tempo correction</w:t>
      </w:r>
    </w:p>
    <w:p>
      <w:pPr>
        <w:spacing w:before="360" w:after="120"/>
        <w:jc w:val="center"/>
      </w:pPr>
      <w:r>
        <w:drawing>
          <wp:inline xmlns:a="http://schemas.openxmlformats.org/drawingml/2006/main" xmlns:pic="http://schemas.openxmlformats.org/drawingml/2006/picture">
            <wp:extent cx="5669280" cy="3255806"/>
            <wp:docPr id="10" name="Picture 10"/>
            <wp:cNvGraphicFramePr>
              <a:graphicFrameLocks noChangeAspect="1"/>
            </wp:cNvGraphicFramePr>
            <a:graphic>
              <a:graphicData uri="http://schemas.openxmlformats.org/drawingml/2006/picture">
                <pic:pic>
                  <pic:nvPicPr>
                    <pic:cNvPr id="0" name="fig10_k_divergence_en.png"/>
                    <pic:cNvPicPr/>
                  </pic:nvPicPr>
                  <pic:blipFill>
                    <a:blip r:embed="rId18"/>
                    <a:stretch>
                      <a:fillRect/>
                    </a:stretch>
                  </pic:blipFill>
                  <pic:spPr>
                    <a:xfrm>
                      <a:off x="0" y="0"/>
                      <a:ext cx="5669280" cy="3255806"/>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Capital-stock divergence: K_obs vs K_M0 over time for six representative countries.</w:t>
      </w:r>
    </w:p>
    <w:p>
      <w:pPr>
        <w:spacing w:after="120" w:line="360" w:lineRule="auto"/>
        <w:ind w:firstLine="480"/>
      </w:pPr>
      <w:r>
        <w:rPr>
          <w:rFonts w:ascii="Times New Roman" w:hAnsi="Times New Roman" w:eastAsia="MS Mincho"/>
          <w:b w:val="0"/>
          <w:i w:val="0"/>
          <w:sz w:val="24"/>
        </w:rPr>
        <w:t xml:space="preserve">The preceding analyses establish that the tempo correction improves forecast accuracy and flow-stock consistency. But the economically fundamental question is different: does the correction change the </w:t>
      </w:r>
      <w:r>
        <w:rPr>
          <w:rFonts w:ascii="Times New Roman" w:hAnsi="Times New Roman" w:eastAsia="MS Mincho"/>
          <w:b w:val="0"/>
          <w:i/>
          <w:sz w:val="24"/>
        </w:rPr>
        <w:t>measured capital stock itself</w:t>
      </w:r>
      <w:r>
        <w:rPr>
          <w:rFonts w:ascii="Times New Roman" w:hAnsi="Times New Roman" w:eastAsia="MS Mincho"/>
          <w:b w:val="0"/>
          <w:i w:val="0"/>
          <w:sz w:val="24"/>
        </w:rPr>
        <w:t>, and do those changes propagate to the growth-accounting quantities — TFP and labour shares — that macroeconomists actually use? This section shows that they do, and quantifies the magnitudes.</w:t>
      </w:r>
    </w:p>
    <w:p>
      <w:pPr>
        <w:spacing w:after="120" w:line="360" w:lineRule="auto"/>
        <w:ind w:firstLine="480"/>
      </w:pPr>
      <w:r>
        <w:rPr>
          <w:rFonts w:ascii="Times New Roman" w:hAnsi="Times New Roman" w:eastAsia="MS Mincho"/>
          <w:b w:val="0"/>
          <w:i w:val="0"/>
          <w:sz w:val="24"/>
        </w:rPr>
        <w:t xml:space="preserve">From the growth-accounting identity TFP = log Y − </w:t>
      </w:r>
      <w:r>
        <w:rPr>
          <w:rFonts w:ascii="Times New Roman" w:hAnsi="Times New Roman" w:eastAsia="MS Mincho"/>
          <w:b w:val="0"/>
          <w:i/>
          <w:sz w:val="24"/>
        </w:rPr>
        <w:t>α</w:t>
      </w:r>
      <w:r>
        <w:rPr>
          <w:rFonts w:ascii="Times New Roman" w:hAnsi="Times New Roman" w:eastAsia="MS Mincho"/>
          <w:b w:val="0"/>
          <w:i w:val="0"/>
          <w:sz w:val="24"/>
        </w:rPr>
        <w:t xml:space="preserve"> log K − (1−</w:t>
      </w:r>
      <w:r>
        <w:rPr>
          <w:rFonts w:ascii="Times New Roman" w:hAnsi="Times New Roman" w:eastAsia="MS Mincho"/>
          <w:b w:val="0"/>
          <w:i/>
          <w:sz w:val="24"/>
        </w:rPr>
        <w:t>α</w:t>
      </w:r>
      <w:r>
        <w:rPr>
          <w:rFonts w:ascii="Times New Roman" w:hAnsi="Times New Roman" w:eastAsia="MS Mincho"/>
          <w:b w:val="0"/>
          <w:i w:val="0"/>
          <w:sz w:val="24"/>
        </w:rPr>
        <w:t xml:space="preserve">) log LH, any change in measured capital changes measured TFP mechanically: </w:t>
      </w:r>
      <w:r>
        <w:rPr>
          <w:rFonts w:ascii="Times New Roman" w:hAnsi="Times New Roman" w:eastAsia="MS Mincho"/>
          <w:b w:val="0"/>
          <w:i/>
          <w:sz w:val="24"/>
        </w:rPr>
        <w:t>Δ</w:t>
      </w:r>
      <w:r>
        <w:rPr>
          <w:rFonts w:ascii="Times New Roman" w:hAnsi="Times New Roman" w:eastAsia="MS Mincho"/>
          <w:b w:val="0"/>
          <w:i w:val="0"/>
          <w:sz w:val="24"/>
        </w:rPr>
        <w:t xml:space="preserve"> log K = (TFP</w:t>
      </w:r>
      <w:r>
        <w:rPr>
          <w:rFonts w:ascii="Times New Roman" w:hAnsi="Times New Roman" w:eastAsia="MS Mincho"/>
          <w:b w:val="0"/>
          <w:i/>
          <w:sz w:val="24"/>
          <w:vertAlign w:val="subscript"/>
        </w:rPr>
        <w:t>M</w:t>
      </w:r>
      <w:r>
        <w:rPr>
          <w:rFonts w:ascii="Times New Roman" w:hAnsi="Times New Roman" w:eastAsia="MS Mincho"/>
          <w:b w:val="0"/>
          <w:i w:val="0"/>
          <w:sz w:val="24"/>
        </w:rPr>
        <w:t>0 −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w:t>
      </w:r>
      <w:r>
        <w:rPr>
          <w:rFonts w:ascii="Times New Roman" w:hAnsi="Times New Roman" w:eastAsia="MS Mincho"/>
          <w:b w:val="0"/>
          <w:i/>
          <w:sz w:val="24"/>
        </w:rPr>
        <w:t>α</w:t>
      </w:r>
      <w:r>
        <w:rPr>
          <w:rFonts w:ascii="Times New Roman" w:hAnsi="Times New Roman" w:eastAsia="MS Mincho"/>
          <w:b w:val="0"/>
          <w:i w:val="0"/>
          <w:sz w:val="24"/>
        </w:rPr>
        <w:t>. Figure 10 plots the K-level divergence — K</w:t>
      </w:r>
      <w:r>
        <w:rPr>
          <w:rFonts w:ascii="Times New Roman" w:hAnsi="Times New Roman" w:eastAsia="MS Mincho"/>
          <w:b w:val="0"/>
          <w:i/>
          <w:sz w:val="24"/>
          <w:vertAlign w:val="subscript"/>
        </w:rPr>
        <w:t>o</w:t>
      </w:r>
      <w:r>
        <w:rPr>
          <w:rFonts w:ascii="Times New Roman" w:hAnsi="Times New Roman" w:eastAsia="MS Mincho"/>
          <w:b w:val="0"/>
          <w:i w:val="0"/>
          <w:sz w:val="24"/>
        </w:rPr>
        <w:t>bs/K</w:t>
      </w:r>
      <w:r>
        <w:rPr>
          <w:rFonts w:ascii="Times New Roman" w:hAnsi="Times New Roman" w:eastAsia="MS Mincho"/>
          <w:b w:val="0"/>
          <w:i/>
          <w:sz w:val="24"/>
          <w:vertAlign w:val="subscript"/>
        </w:rPr>
        <w:t>M</w:t>
      </w:r>
      <w:r>
        <w:rPr>
          <w:rFonts w:ascii="Times New Roman" w:hAnsi="Times New Roman" w:eastAsia="MS Mincho"/>
          <w:b w:val="0"/>
          <w:i w:val="0"/>
          <w:sz w:val="24"/>
        </w:rPr>
        <w:t>0 − 1 in percent — over the full sample period for six representative countries (Japan, United States, Germany, Republic of Korea, United Kingdom, Sweden). In every country the tempo-corrected stock K</w:t>
      </w:r>
      <w:r>
        <w:rPr>
          <w:rFonts w:ascii="Times New Roman" w:hAnsi="Times New Roman" w:eastAsia="MS Mincho"/>
          <w:b w:val="0"/>
          <w:i/>
          <w:sz w:val="24"/>
          <w:vertAlign w:val="subscript"/>
        </w:rPr>
        <w:t>o</w:t>
      </w:r>
      <w:r>
        <w:rPr>
          <w:rFonts w:ascii="Times New Roman" w:hAnsi="Times New Roman" w:eastAsia="MS Mincho"/>
          <w:b w:val="0"/>
          <w:i w:val="0"/>
          <w:sz w:val="24"/>
        </w:rPr>
        <w:t>bs lies below the standard PIM stock K</w:t>
      </w:r>
      <w:r>
        <w:rPr>
          <w:rFonts w:ascii="Times New Roman" w:hAnsi="Times New Roman" w:eastAsia="MS Mincho"/>
          <w:b w:val="0"/>
          <w:i/>
          <w:sz w:val="24"/>
          <w:vertAlign w:val="subscript"/>
        </w:rPr>
        <w:t>M</w:t>
      </w:r>
      <w:r>
        <w:rPr>
          <w:rFonts w:ascii="Times New Roman" w:hAnsi="Times New Roman" w:eastAsia="MS Mincho"/>
          <w:b w:val="0"/>
          <w:i w:val="0"/>
          <w:sz w:val="24"/>
        </w:rPr>
        <w:t>0, and the gap widens over time as investment composition shifts toward longer-gestation assets. This is the direct measurement consequence: the PIM counts investment as productive before it has completed gestation, overstating the capital stock. The direction is unambiguous: all 35 countries show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val="0"/>
          <w:i w:val="0"/>
          <w:sz w:val="24"/>
        </w:rPr>
        <w:t>Table 5 and the right panel of Figure 10 quantify the cross-country distribution. Over 2010–2019, the median K-level gap is −4.3 % (IQR: −5.3 % to −3.8 %). The five most affected economies — Ireland (−9.2 %), Costa Rica (−7.3 %), Republic of Korea (−7.1 %), Slovakia (−6.7 %), Israel (−6.4 %) — are precisely those with the largest recent shifts toward intellectual-property and ICT investment. The five least affected — Greece (−0.6 %), Japan (−1.2 %), Germany (−1.9 %), Italy (−2.1 %), Portugal (−2.6 %) — are those with more stable investment mixes.</w:t>
      </w:r>
    </w:p>
    <w:p>
      <w:pPr>
        <w:spacing w:before="360" w:after="120"/>
        <w:jc w:val="center"/>
      </w:pPr>
      <w:r>
        <w:drawing>
          <wp:inline xmlns:a="http://schemas.openxmlformats.org/drawingml/2006/main" xmlns:pic="http://schemas.openxmlformats.org/drawingml/2006/picture">
            <wp:extent cx="5669280" cy="4231998"/>
            <wp:docPr id="11" name="Picture 11"/>
            <wp:cNvGraphicFramePr>
              <a:graphicFrameLocks noChangeAspect="1"/>
            </wp:cNvGraphicFramePr>
            <a:graphic>
              <a:graphicData uri="http://schemas.openxmlformats.org/drawingml/2006/picture">
                <pic:pic>
                  <pic:nvPicPr>
                    <pic:cNvPr id="0" name="fig11_tfp_consequence_en.png"/>
                    <pic:cNvPicPr/>
                  </pic:nvPicPr>
                  <pic:blipFill>
                    <a:blip r:embed="rId19"/>
                    <a:stretch>
                      <a:fillRect/>
                    </a:stretch>
                  </pic:blipFill>
                  <pic:spPr>
                    <a:xfrm>
                      <a:off x="0" y="0"/>
                      <a:ext cx="5669280" cy="4231998"/>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Measurement consequence: K-level change vs TFP shift (country means, 2010-2019).</w:t>
      </w:r>
    </w:p>
    <w:p>
      <w:pPr>
        <w:spacing w:after="120" w:line="360" w:lineRule="auto"/>
        <w:ind w:firstLine="480"/>
      </w:pPr>
      <w:r>
        <w:rPr>
          <w:rFonts w:ascii="Times New Roman" w:hAnsi="Times New Roman" w:eastAsia="MS Mincho"/>
          <w:b w:val="0"/>
          <w:i/>
          <w:sz w:val="24"/>
        </w:rPr>
        <w:t>TFP consequences.</w:t>
      </w:r>
      <w:r>
        <w:rPr>
          <w:rFonts w:ascii="Times New Roman" w:hAnsi="Times New Roman" w:eastAsia="MS Mincho"/>
          <w:b w:val="0"/>
          <w:i w:val="0"/>
          <w:sz w:val="24"/>
        </w:rPr>
        <w:t xml:space="preserve"> Because TFP</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bs − (1−</w:t>
      </w:r>
      <w:r>
        <w:rPr>
          <w:rFonts w:ascii="Times New Roman" w:hAnsi="Times New Roman" w:eastAsia="MS Mincho"/>
          <w:b w:val="0"/>
          <w:i/>
          <w:sz w:val="24"/>
        </w:rPr>
        <w:t>α</w:t>
      </w:r>
      <w:r>
        <w:rPr>
          <w:rFonts w:ascii="Times New Roman" w:hAnsi="Times New Roman" w:eastAsia="MS Mincho"/>
          <w:b w:val="0"/>
          <w:i w:val="0"/>
          <w:sz w:val="24"/>
        </w:rPr>
        <w:t>) log LH and K</w:t>
      </w:r>
      <w:r>
        <w:rPr>
          <w:rFonts w:ascii="Times New Roman" w:hAnsi="Times New Roman" w:eastAsia="MS Mincho"/>
          <w:b w:val="0"/>
          <w:i/>
          <w:sz w:val="24"/>
          <w:vertAlign w:val="subscript"/>
        </w:rPr>
        <w:t>o</w:t>
      </w:r>
      <w:r>
        <w:rPr>
          <w:rFonts w:ascii="Times New Roman" w:hAnsi="Times New Roman" w:eastAsia="MS Mincho"/>
          <w:b w:val="0"/>
          <w:i w:val="0"/>
          <w:sz w:val="24"/>
        </w:rPr>
        <w:t>bs &lt; K</w:t>
      </w:r>
      <w:r>
        <w:rPr>
          <w:rFonts w:ascii="Times New Roman" w:hAnsi="Times New Roman" w:eastAsia="MS Mincho"/>
          <w:b w:val="0"/>
          <w:i/>
          <w:sz w:val="24"/>
          <w:vertAlign w:val="subscript"/>
        </w:rPr>
        <w:t>M</w:t>
      </w:r>
      <w:r>
        <w:rPr>
          <w:rFonts w:ascii="Times New Roman" w:hAnsi="Times New Roman" w:eastAsia="MS Mincho"/>
          <w:b w:val="0"/>
          <w:i w:val="0"/>
          <w:sz w:val="24"/>
        </w:rPr>
        <w:t>0, it follows that TFP</w:t>
      </w:r>
      <w:r>
        <w:rPr>
          <w:rFonts w:ascii="Times New Roman" w:hAnsi="Times New Roman" w:eastAsia="MS Mincho"/>
          <w:b w:val="0"/>
          <w:i/>
          <w:sz w:val="24"/>
          <w:vertAlign w:val="subscript"/>
        </w:rPr>
        <w:t>o</w:t>
      </w:r>
      <w:r>
        <w:rPr>
          <w:rFonts w:ascii="Times New Roman" w:hAnsi="Times New Roman" w:eastAsia="MS Mincho"/>
          <w:b w:val="0"/>
          <w:i w:val="0"/>
          <w:sz w:val="24"/>
        </w:rPr>
        <w:t>bs &gt; TFP</w:t>
      </w:r>
      <w:r>
        <w:rPr>
          <w:rFonts w:ascii="Times New Roman" w:hAnsi="Times New Roman" w:eastAsia="MS Mincho"/>
          <w:b w:val="0"/>
          <w:i/>
          <w:sz w:val="24"/>
          <w:vertAlign w:val="subscript"/>
        </w:rPr>
        <w:t>M</w:t>
      </w:r>
      <w:r>
        <w:rPr>
          <w:rFonts w:ascii="Times New Roman" w:hAnsi="Times New Roman" w:eastAsia="MS Mincho"/>
          <w:b w:val="0"/>
          <w:i w:val="0"/>
          <w:sz w:val="24"/>
        </w:rPr>
        <w:t xml:space="preserve">0: the standard PIM </w:t>
      </w:r>
      <w:r>
        <w:rPr>
          <w:rFonts w:ascii="Times New Roman" w:hAnsi="Times New Roman" w:eastAsia="MS Mincho"/>
          <w:b w:val="0"/>
          <w:i/>
          <w:sz w:val="24"/>
        </w:rPr>
        <w:t>understates</w:t>
      </w:r>
      <w:r>
        <w:rPr>
          <w:rFonts w:ascii="Times New Roman" w:hAnsi="Times New Roman" w:eastAsia="MS Mincho"/>
          <w:b w:val="0"/>
          <w:i w:val="0"/>
          <w:sz w:val="24"/>
        </w:rPr>
        <w:t xml:space="preserve"> TFP by absorbing productive capacity into an inflated capital measure. The median TFP shift is −1.7 percentage points (Figure 11), with a tight cross-country relationship between </w:t>
      </w:r>
      <w:r>
        <w:rPr>
          <w:rFonts w:ascii="Times New Roman" w:hAnsi="Times New Roman" w:eastAsia="MS Mincho"/>
          <w:b w:val="0"/>
          <w:i/>
          <w:sz w:val="24"/>
        </w:rPr>
        <w:t>Δ</w:t>
      </w:r>
      <w:r>
        <w:rPr>
          <w:rFonts w:ascii="Times New Roman" w:hAnsi="Times New Roman" w:eastAsia="MS Mincho"/>
          <w:b w:val="0"/>
          <w:i w:val="0"/>
          <w:sz w:val="24"/>
        </w:rPr>
        <w:t xml:space="preserve">K and </w:t>
      </w:r>
      <w:r>
        <w:rPr>
          <w:rFonts w:ascii="Times New Roman" w:hAnsi="Times New Roman" w:eastAsia="MS Mincho"/>
          <w:b w:val="0"/>
          <w:i/>
          <w:sz w:val="24"/>
        </w:rPr>
        <w:t>Δ</w:t>
      </w:r>
      <w:r>
        <w:rPr>
          <w:rFonts w:ascii="Times New Roman" w:hAnsi="Times New Roman" w:eastAsia="MS Mincho"/>
          <w:b w:val="0"/>
          <w:i w:val="0"/>
          <w:sz w:val="24"/>
        </w:rPr>
        <w:t>TFP (slope ≈ −</w:t>
      </w:r>
      <w:r>
        <w:rPr>
          <w:rFonts w:ascii="Times New Roman" w:hAnsi="Times New Roman" w:eastAsia="MS Mincho"/>
          <w:b w:val="0"/>
          <w:i/>
          <w:sz w:val="24"/>
        </w:rPr>
        <w:t>α</w:t>
      </w:r>
      <w:r>
        <w:rPr>
          <w:rFonts w:ascii="Times New Roman" w:hAnsi="Times New Roman" w:eastAsia="MS Mincho"/>
          <w:b w:val="0"/>
          <w:i w:val="0"/>
          <w:sz w:val="24"/>
        </w:rPr>
        <w:t>). For Ireland the shift reaches −4.6 pp, meaning that nearly five percentage points of what the conventional Solow residual attributes to capital deepening is actually a tempo artefact.</w:t>
      </w:r>
    </w:p>
    <w:p>
      <w:pPr>
        <w:spacing w:before="360" w:after="120"/>
        <w:jc w:val="center"/>
      </w:pPr>
      <w:r>
        <w:drawing>
          <wp:inline xmlns:a="http://schemas.openxmlformats.org/drawingml/2006/main" xmlns:pic="http://schemas.openxmlformats.org/drawingml/2006/picture">
            <wp:extent cx="5669280" cy="2332852"/>
            <wp:docPr id="12" name="Picture 12"/>
            <wp:cNvGraphicFramePr>
              <a:graphicFrameLocks noChangeAspect="1"/>
            </wp:cNvGraphicFramePr>
            <a:graphic>
              <a:graphicData uri="http://schemas.openxmlformats.org/drawingml/2006/picture">
                <pic:pic>
                  <pic:nvPicPr>
                    <pic:cNvPr id="0" name="fig12_labor_share_en.png"/>
                    <pic:cNvPicPr/>
                  </pic:nvPicPr>
                  <pic:blipFill>
                    <a:blip r:embed="rId20"/>
                    <a:stretch>
                      <a:fillRect/>
                    </a:stretch>
                  </pic:blipFill>
                  <pic:spPr>
                    <a:xfrm>
                      <a:off x="0" y="0"/>
                      <a:ext cx="5669280" cy="2332852"/>
                    </a:xfrm>
                    <a:prstGeom prst="rect"/>
                  </pic:spPr>
                </pic:pic>
              </a:graphicData>
            </a:graphic>
          </wp:inline>
        </w:drawing>
      </w:r>
    </w:p>
    <w:p>
      <w:pPr>
        <w:spacing w:after="240"/>
        <w:jc w:val="center"/>
      </w:pPr>
      <w:r>
        <w:rPr>
          <w:rFonts w:ascii="Times New Roman" w:hAnsi="Times New Roman" w:eastAsia="MS Mincho"/>
          <w:b/>
          <w:i w:val="0"/>
          <w:sz w:val="20"/>
        </w:rPr>
        <w:t xml:space="preserve">Fig. 12. </w:t>
      </w:r>
      <w:r>
        <w:rPr>
          <w:rFonts w:ascii="Times New Roman" w:hAnsi="Times New Roman" w:eastAsia="MS Mincho"/>
          <w:b w:val="0"/>
          <w:i w:val="0"/>
          <w:sz w:val="20"/>
        </w:rPr>
        <w:t>Implied labour-share correction from tempo-adjusted capital (country means, 2010-2019).</w:t>
      </w:r>
    </w:p>
    <w:p>
      <w:pPr>
        <w:spacing w:after="120" w:line="360" w:lineRule="auto"/>
        <w:ind w:firstLine="480"/>
      </w:pPr>
      <w:r>
        <w:rPr>
          <w:rFonts w:ascii="Times New Roman" w:hAnsi="Times New Roman" w:eastAsia="MS Mincho"/>
          <w:b w:val="0"/>
          <w:i/>
          <w:sz w:val="24"/>
        </w:rPr>
        <w:t>Labour-share consequences.</w:t>
      </w:r>
      <w:r>
        <w:rPr>
          <w:rFonts w:ascii="Times New Roman" w:hAnsi="Times New Roman" w:eastAsia="MS Mincho"/>
          <w:b w:val="0"/>
          <w:i w:val="0"/>
          <w:sz w:val="24"/>
        </w:rPr>
        <w:t xml:space="preserve"> If the capital stock is overstated, the capital contribution </w:t>
      </w:r>
      <w:r>
        <w:rPr>
          <w:rFonts w:ascii="Times New Roman" w:hAnsi="Times New Roman" w:eastAsia="MS Mincho"/>
          <w:b w:val="0"/>
          <w:i/>
          <w:sz w:val="24"/>
        </w:rPr>
        <w:t>α</w:t>
      </w:r>
      <w:r>
        <w:rPr>
          <w:rFonts w:ascii="Times New Roman" w:hAnsi="Times New Roman" w:eastAsia="MS Mincho"/>
          <w:b w:val="0"/>
          <w:i w:val="0"/>
          <w:sz w:val="24"/>
        </w:rPr>
        <w:t xml:space="preserve"> log K absorbs variation that should be attributed to labour or TFP, mechanically depressing the residual labour share. Correcting K downward by </w:t>
      </w:r>
      <w:r>
        <w:rPr>
          <w:rFonts w:ascii="Times New Roman" w:hAnsi="Times New Roman" w:eastAsia="MS Mincho"/>
          <w:b w:val="0"/>
          <w:i/>
          <w:sz w:val="24"/>
        </w:rPr>
        <w:t>δ</w:t>
      </w:r>
      <w:r>
        <w:rPr>
          <w:rFonts w:ascii="Times New Roman" w:hAnsi="Times New Roman" w:eastAsia="MS Mincho"/>
          <w:b w:val="0"/>
          <w:i w:val="0"/>
          <w:sz w:val="24"/>
        </w:rPr>
        <w:t xml:space="preserve"> log K shifts the implied labour share upward by approximately </w:t>
      </w:r>
      <w:r>
        <w:rPr>
          <w:rFonts w:ascii="Times New Roman" w:hAnsi="Times New Roman" w:eastAsia="MS Mincho"/>
          <w:b w:val="0"/>
          <w:i/>
          <w:sz w:val="24"/>
        </w:rPr>
        <w:t>α</w:t>
      </w:r>
      <w:r>
        <w:rPr>
          <w:rFonts w:ascii="Times New Roman" w:hAnsi="Times New Roman" w:eastAsia="MS Mincho"/>
          <w:b w:val="0"/>
          <w:i w:val="0"/>
          <w:sz w:val="24"/>
        </w:rPr>
        <w:t xml:space="preserve"> × |</w:t>
      </w:r>
      <w:r>
        <w:rPr>
          <w:rFonts w:ascii="Times New Roman" w:hAnsi="Times New Roman" w:eastAsia="MS Mincho"/>
          <w:b w:val="0"/>
          <w:i/>
          <w:sz w:val="24"/>
        </w:rPr>
        <w:t>δ</w:t>
      </w:r>
      <w:r>
        <w:rPr>
          <w:rFonts w:ascii="Times New Roman" w:hAnsi="Times New Roman" w:eastAsia="MS Mincho"/>
          <w:b w:val="0"/>
          <w:i w:val="0"/>
          <w:sz w:val="24"/>
        </w:rPr>
        <w:t xml:space="preserve"> log K| percentage points. The median upward shift is 1.7 pp (IQR: 1.4–2.7 pp; Figure 12). For the Republic of Korea the shift is 3.1 pp, for Israel 2.8 pp. These are economically meaningful magnitudes in the context of the declining-labour-share debate (Karabarbounis and Neiman, 2014): a portion of the measured decline in labour shares may reflect not a genuine shift of income from labour to capital but a measurement artefact arising from the failure to account for investment gestation lags. This finding reframes the declining-labour-share puzzle: part of the documented secular fall in labour shares across advanced economies may simply be an artefact of treating long-gestation investment as if it were instantly productive.</w:t>
      </w:r>
    </w:p>
    <w:p>
      <w:pPr>
        <w:spacing w:after="120" w:line="360" w:lineRule="auto"/>
        <w:ind w:firstLine="480"/>
      </w:pPr>
      <w:r>
        <w:rPr>
          <w:rFonts w:ascii="Times New Roman" w:hAnsi="Times New Roman" w:eastAsia="MS Mincho"/>
          <w:b w:val="0"/>
          <w:i/>
          <w:sz w:val="24"/>
        </w:rPr>
        <w:t>Investment composition and the business cycle.</w:t>
      </w:r>
      <w:r>
        <w:rPr>
          <w:rFonts w:ascii="Times New Roman" w:hAnsi="Times New Roman" w:eastAsia="MS Mincho"/>
          <w:b w:val="0"/>
          <w:i w:val="0"/>
          <w:sz w:val="24"/>
        </w:rPr>
        <w:t xml:space="preserve"> The K-level gap is not constant over time but co-moves with the investment cycle. During expansions, firms undertake more complex, long-gestation projects (software platforms, R&amp;D programmes, infrastructure); during contractions, investment retreats to short-lead maintenance and replacement. The observable </w:t>
      </w:r>
      <w:r>
        <w:rPr>
          <w:rFonts w:ascii="Times New Roman" w:hAnsi="Times New Roman" w:eastAsia="MS Mincho"/>
          <w:b w:val="0"/>
          <w:i/>
          <w:sz w:val="24"/>
        </w:rPr>
        <w:t>μ</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therefore rises in booms and falls in recessions, amplifying the tempo effect procyclically. This means the standard PIM systematically </w:t>
      </w:r>
      <w:r>
        <w:rPr>
          <w:rFonts w:ascii="Times New Roman" w:hAnsi="Times New Roman" w:eastAsia="MS Mincho"/>
          <w:b w:val="0"/>
          <w:i/>
          <w:sz w:val="24"/>
        </w:rPr>
        <w:t>overstates</w:t>
      </w:r>
      <w:r>
        <w:rPr>
          <w:rFonts w:ascii="Times New Roman" w:hAnsi="Times New Roman" w:eastAsia="MS Mincho"/>
          <w:b w:val="0"/>
          <w:i w:val="0"/>
          <w:sz w:val="24"/>
        </w:rPr>
        <w:t xml:space="preserve"> the capital stock in booms (when long-gestation investment is being counted before completion) and </w:t>
      </w:r>
      <w:r>
        <w:rPr>
          <w:rFonts w:ascii="Times New Roman" w:hAnsi="Times New Roman" w:eastAsia="MS Mincho"/>
          <w:b w:val="0"/>
          <w:i/>
          <w:sz w:val="24"/>
        </w:rPr>
        <w:t>understates</w:t>
      </w:r>
      <w:r>
        <w:rPr>
          <w:rFonts w:ascii="Times New Roman" w:hAnsi="Times New Roman" w:eastAsia="MS Mincho"/>
          <w:b w:val="0"/>
          <w:i w:val="0"/>
          <w:sz w:val="24"/>
        </w:rPr>
        <w:t xml:space="preserve"> it in troughs (when the pipeline empties but past projects are completing). The procyclical bias in measured K translates to a countercyclical bias in measured TFP: TFP appears lower in booms and higher in recessions than it should, which may explain part of the well-documented countercyclicality of the Solow residual.</w:t>
      </w:r>
    </w:p>
    <w:p>
      <w:pPr>
        <w:spacing w:before="360" w:after="120" w:line="360" w:lineRule="auto"/>
      </w:pPr>
      <w:r>
        <w:rPr>
          <w:rFonts w:ascii="Times New Roman" w:hAnsi="Times New Roman" w:eastAsia="MS Mincho"/>
          <w:b/>
          <w:i w:val="0"/>
          <w:sz w:val="24"/>
        </w:rPr>
        <w:t>5.11 Solow-residual historical decomposition</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3" name="Picture 13"/>
            <wp:cNvGraphicFramePr>
              <a:graphicFrameLocks noChangeAspect="1"/>
            </wp:cNvGraphicFramePr>
            <a:graphic>
              <a:graphicData uri="http://schemas.openxmlformats.org/drawingml/2006/picture">
                <pic:pic>
                  <pic:nvPicPr>
                    <pic:cNvPr id="0" name="fig13_solow_decomp_en.png"/>
                    <pic:cNvPicPr/>
                  </pic:nvPicPr>
                  <pic:blipFill>
                    <a:blip r:embed="rId21"/>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13.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 xml:space="preserve">The TFP variance decomposition complements the level analysis of Sect. 5.10. 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Under M</w:t>
      </w:r>
      <w:r>
        <w:rPr>
          <w:rFonts w:ascii="Times New Roman" w:hAnsi="Times New Roman" w:eastAsia="MS Mincho"/>
          <w:b w:val="0"/>
          <w:i/>
          <w:sz w:val="24"/>
          <w:vertAlign w:val="subscript"/>
        </w:rPr>
        <w:t>o</w:t>
      </w:r>
      <w:r>
        <w:rPr>
          <w:rFonts w:ascii="Times New Roman" w:hAnsi="Times New Roman" w:eastAsia="MS Mincho"/>
          <w:b w:val="0"/>
          <w:i w:val="0"/>
          <w:sz w:val="24"/>
        </w:rPr>
        <w:t>bs the residual is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bs(t) = log Y − </w:t>
      </w:r>
      <w:r>
        <w:rPr>
          <w:rFonts w:ascii="Times New Roman" w:hAnsi="Times New Roman" w:eastAsia="MS Mincho"/>
          <w:b w:val="0"/>
          <w:i/>
          <w:sz w:val="24"/>
        </w:rPr>
        <w:t>α</w:t>
      </w:r>
      <w:r>
        <w:rPr>
          <w:rFonts w:ascii="Times New Roman" w:hAnsi="Times New Roman" w:eastAsia="MS Mincho"/>
          <w:b w:val="0"/>
          <w:i w:val="0"/>
          <w:sz w:val="24"/>
        </w:rPr>
        <w:t xml:space="preserve"> log K</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(1 − </w:t>
      </w:r>
      <w:r>
        <w:rPr>
          <w:rFonts w:ascii="Times New Roman" w:hAnsi="Times New Roman" w:eastAsia="MS Mincho"/>
          <w:b w:val="0"/>
          <w:i/>
          <w:sz w:val="24"/>
        </w:rPr>
        <w:t>α</w:t>
      </w:r>
      <w:r>
        <w:rPr>
          <w:rFonts w:ascii="Times New Roman" w:hAnsi="Times New Roman" w:eastAsia="MS Mincho"/>
          <w:b w:val="0"/>
          <w:i w:val="0"/>
          <w:sz w:val="24"/>
        </w:rPr>
        <w:t>) log LH, where K</w:t>
      </w:r>
      <w:r>
        <w:rPr>
          <w:rFonts w:ascii="Times New Roman" w:hAnsi="Times New Roman" w:eastAsia="MS Mincho"/>
          <w:b w:val="0"/>
          <w:i/>
          <w:sz w:val="24"/>
          <w:vertAlign w:val="subscript"/>
        </w:rPr>
        <w:t>o</w:t>
      </w:r>
      <w:r>
        <w:rPr>
          <w:rFonts w:ascii="Times New Roman" w:hAnsi="Times New Roman" w:eastAsia="MS Mincho"/>
          <w:b w:val="0"/>
          <w:i w:val="0"/>
          <w:sz w:val="24"/>
        </w:rPr>
        <w:t>bs is the observable-tempo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or Var(</w:t>
      </w:r>
      <w:r>
        <w:rPr>
          <w:rFonts w:ascii="Times New Roman" w:hAnsi="Times New Roman" w:eastAsia="MS Mincho"/>
          <w:b w:val="0"/>
          <w:i/>
          <w:sz w:val="24"/>
        </w:rPr>
        <w:t>Δ</w:t>
      </w:r>
      <w:r>
        <w:rPr>
          <w:rFonts w:ascii="Times New Roman" w:hAnsi="Times New Roman" w:eastAsia="MS Mincho"/>
          <w:b w:val="0"/>
          <w:i w:val="0"/>
          <w:sz w:val="24"/>
        </w:rPr>
        <w:t xml:space="preserve"> log A</w:t>
      </w:r>
      <w:r>
        <w:rPr>
          <w:rFonts w:ascii="Times New Roman" w:hAnsi="Times New Roman" w:eastAsia="MS Mincho"/>
          <w:b w:val="0"/>
          <w:i/>
          <w:sz w:val="24"/>
          <w:vertAlign w:val="subscript"/>
        </w:rPr>
        <w:t>o</w:t>
      </w:r>
      <w:r>
        <w:rPr>
          <w:rFonts w:ascii="Times New Roman" w:hAnsi="Times New Roman" w:eastAsia="MS Mincho"/>
          <w:b w:val="0"/>
          <w:i w:val="0"/>
          <w:sz w:val="24"/>
        </w:rPr>
        <w:t xml:space="preserve">bs) — measures how much TFP-growth variation is absorbed by the time-to-build correction. Across the 35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13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xml:space="preserve">̂ = 0.34 estimated for France (Table 2). The key finding is that these are not merely forecasting improvements: they represent genuine changes in </w:t>
      </w:r>
      <w:r>
        <w:rPr>
          <w:rFonts w:ascii="Times New Roman" w:hAnsi="Times New Roman" w:eastAsia="MS Mincho"/>
          <w:b w:val="0"/>
          <w:i/>
          <w:sz w:val="24"/>
        </w:rPr>
        <w:t>how much of output growth is attributed to capital versus productivity</w:t>
      </w:r>
      <w:r>
        <w:rPr>
          <w:rFonts w:ascii="Times New Roman" w:hAnsi="Times New Roman" w:eastAsia="MS Mincho"/>
          <w:b w:val="0"/>
          <w:i w:val="0"/>
          <w:sz w:val="24"/>
        </w:rPr>
        <w:t>.</w:t>
      </w:r>
    </w:p>
    <w:p>
      <w:pPr>
        <w:spacing w:before="360" w:after="120" w:line="360" w:lineRule="auto"/>
      </w:pPr>
      <w:r>
        <w:rPr>
          <w:rFonts w:ascii="Times New Roman" w:hAnsi="Times New Roman" w:eastAsia="MS Mincho"/>
          <w:b/>
          <w:i w:val="0"/>
          <w:sz w:val="24"/>
        </w:rPr>
        <w:t>5.12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4" name="Picture 14"/>
            <wp:cNvGraphicFramePr>
              <a:graphicFrameLocks noChangeAspect="1"/>
            </wp:cNvGraphicFramePr>
            <a:graphic>
              <a:graphicData uri="http://schemas.openxmlformats.org/drawingml/2006/picture">
                <pic:pic>
                  <pic:nvPicPr>
                    <pic:cNvPr id="0" name="fig14_counterfactual_wealth_en.png"/>
                    <pic:cNvPicPr/>
                  </pic:nvPicPr>
                  <pic:blipFill>
                    <a:blip r:embed="rId22"/>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14.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14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K-level analysis of Sect. 5.10 and the historical decomposition of Sect. 5.11 put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35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w:t>
      </w:r>
      <w:r>
        <w:rPr>
          <w:rFonts w:ascii="Times New Roman" w:hAnsi="Times New Roman" w:eastAsia="MS Mincho"/>
          <w:b w:val="0"/>
          <w:i/>
          <w:sz w:val="24"/>
        </w:rPr>
        <w:t>μ</w:t>
      </w:r>
      <w:r>
        <w:rPr>
          <w:rFonts w:ascii="Times New Roman" w:hAnsi="Times New Roman" w:eastAsia="MS Mincho"/>
          <w:b w:val="0"/>
          <w:i w:val="0"/>
          <w:sz w:val="24"/>
        </w:rPr>
        <w:t xml:space="preserve"> is constructed from observable investment composition (M</w:t>
      </w:r>
      <w:r>
        <w:rPr>
          <w:rFonts w:ascii="Times New Roman" w:hAnsi="Times New Roman" w:eastAsia="MS Mincho"/>
          <w:b w:val="0"/>
          <w:i/>
          <w:sz w:val="24"/>
          <w:vertAlign w:val="subscript"/>
        </w:rPr>
        <w:t>o</w:t>
      </w:r>
      <w:r>
        <w:rPr>
          <w:rFonts w:ascii="Times New Roman" w:hAnsi="Times New Roman" w:eastAsia="MS Mincho"/>
          <w:b w:val="0"/>
          <w:i w:val="0"/>
          <w:sz w:val="24"/>
        </w:rPr>
        <w:t>bs), the measured capital stock changes by a median 4.3 %, TFP shifts by 1.7 percentage points, and the implied labour share shifts by 1.7 percentage points — all without any free parameters. These are not forecasting improvements: they are measurement consequences that propagate to every macroeconomic quantity built on the national capital stock.</w:t>
      </w:r>
    </w:p>
    <w:p>
      <w:pPr>
        <w:spacing w:after="120" w:line="360" w:lineRule="auto"/>
        <w:ind w:firstLine="480"/>
      </w:pPr>
      <w:r>
        <w:rPr>
          <w:rFonts w:ascii="Times New Roman" w:hAnsi="Times New Roman" w:eastAsia="MS Mincho"/>
          <w:b w:val="0"/>
          <w:i w:val="0"/>
          <w:sz w:val="24"/>
        </w:rPr>
        <w:t xml:space="preserve">The scale of the measurement consequences deserves a final word of calibration. A 4.3 % change in the capital stock may sound modest, but it implies that the capital contribution to output — </w:t>
      </w:r>
      <w:r>
        <w:rPr>
          <w:rFonts w:ascii="Times New Roman" w:hAnsi="Times New Roman" w:eastAsia="MS Mincho"/>
          <w:b w:val="0"/>
          <w:i/>
          <w:sz w:val="24"/>
        </w:rPr>
        <w:t>α</w:t>
      </w:r>
      <w:r>
        <w:rPr>
          <w:rFonts w:ascii="Times New Roman" w:hAnsi="Times New Roman" w:eastAsia="MS Mincho"/>
          <w:b w:val="0"/>
          <w:i w:val="0"/>
          <w:sz w:val="24"/>
        </w:rPr>
        <w:t xml:space="preserve"> log K in every growth-accounting exercise since Solow (1957) — has been systematically biased for every country that has experienced a shift in investment composition toward long-gestation assets. For the Republic of Korea, the capital stock is overstated by 7.1 %, shifting TFP by 3.1 pp and the implied labour share by 3.1 pp; for Ireland the figures are 9.2 % and 4.6 pp. These magnitudes are comparable to the secular trends in labour shares that have generated a large literature (Karabarbounis and Neiman, 2014), suggesting that a non-trivial part of the measured decline in labour shares is an artefact of ignoring investment gestation lags.</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observable M</w:t>
      </w:r>
      <w:r>
        <w:rPr>
          <w:rFonts w:ascii="Times New Roman" w:hAnsi="Times New Roman" w:eastAsia="MS Mincho"/>
          <w:b w:val="0"/>
          <w:i/>
          <w:sz w:val="24"/>
          <w:vertAlign w:val="subscript"/>
        </w:rPr>
        <w:t>o</w:t>
      </w:r>
      <w:r>
        <w:rPr>
          <w:rFonts w:ascii="Times New Roman" w:hAnsi="Times New Roman" w:eastAsia="MS Mincho"/>
          <w:b w:val="0"/>
          <w:i w:val="0"/>
          <w:sz w:val="24"/>
        </w:rPr>
        <w:t>bs construction demonstrates that the composition-driven tempo can be computed at negligible cost from existing OECD asset data.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Capital-level measurement consequences of observable tempo correction (M</w:t>
      </w:r>
      <w:r>
        <w:rPr>
          <w:rFonts w:ascii="Times New Roman" w:hAnsi="Times New Roman" w:eastAsia="MS Mincho"/>
          <w:b w:val="0"/>
          <w:i/>
          <w:sz w:val="24"/>
          <w:vertAlign w:val="subscript"/>
        </w:rPr>
        <w:t>o</w:t>
      </w:r>
      <w:r>
        <w:rPr>
          <w:rFonts w:ascii="Times New Roman" w:hAnsi="Times New Roman" w:eastAsia="MS Mincho"/>
          <w:b w:val="0"/>
          <w:i w:val="0"/>
          <w:sz w:val="24"/>
        </w:rPr>
        <w:t>bs vs M0), 2010–2019 country means: K-level percentage difference, TFP shift (percentage points), and implied labour-share shift (percentage points).</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K-level measurement consequences: K gap, TFP shift, and implied labour-share shift (2010-2019 country means).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881"/>
        <w:gridCol w:w="1881"/>
        <w:gridCol w:w="1881"/>
        <w:gridCol w:w="1881"/>
        <w:gridCol w:w="1881"/>
      </w:tblGrid>
      <w:tr>
        <w:tc>
          <w:tcPr>
            <w:tcW w:type="dxa" w:w="1881"/>
          </w:tcPr>
          <w:p>
            <w:r/>
            <w:r>
              <w:rPr>
                <w:rFonts w:ascii="Times New Roman" w:hAnsi="Times New Roman" w:eastAsia="MS Mincho"/>
                <w:b/>
                <w:i w:val="0"/>
                <w:sz w:val="20"/>
              </w:rPr>
              <w:t>Country</w:t>
            </w:r>
          </w:p>
        </w:tc>
        <w:tc>
          <w:tcPr>
            <w:tcW w:type="dxa" w:w="1881"/>
          </w:tcPr>
          <w:p>
            <w:r/>
            <w:r>
              <w:rPr>
                <w:rFonts w:ascii="Times New Roman" w:hAnsi="Times New Roman" w:eastAsia="MS Mincho"/>
                <w:b/>
                <w:i w:val="0"/>
                <w:sz w:val="20"/>
              </w:rPr>
              <w:t>ISO3</w:t>
            </w:r>
          </w:p>
        </w:tc>
        <w:tc>
          <w:tcPr>
            <w:tcW w:type="dxa" w:w="1881"/>
          </w:tcPr>
          <w:p>
            <w:r/>
            <w:r>
              <w:rPr>
                <w:rFonts w:ascii="Times New Roman" w:hAnsi="Times New Roman" w:eastAsia="MS Mincho"/>
                <w:b/>
                <w:i w:val="0"/>
                <w:sz w:val="20"/>
              </w:rPr>
              <w:t>K gap (%)</w:t>
            </w:r>
          </w:p>
        </w:tc>
        <w:tc>
          <w:tcPr>
            <w:tcW w:type="dxa" w:w="1881"/>
          </w:tcPr>
          <w:p>
            <w:r/>
            <w:r>
              <w:rPr>
                <w:rFonts w:ascii="Times New Roman" w:hAnsi="Times New Roman" w:eastAsia="MS Mincho"/>
                <w:b/>
                <w:i w:val="0"/>
                <w:sz w:val="20"/>
              </w:rPr>
              <w:t>TFP shift (pp)</w:t>
            </w:r>
          </w:p>
        </w:tc>
        <w:tc>
          <w:tcPr>
            <w:tcW w:type="dxa" w:w="1881"/>
          </w:tcPr>
          <w:p>
            <w:r/>
            <w:r>
              <w:rPr>
                <w:rFonts w:ascii="Times New Roman" w:hAnsi="Times New Roman" w:eastAsia="MS Mincho"/>
                <w:b/>
                <w:i w:val="0"/>
                <w:sz w:val="20"/>
              </w:rPr>
              <w:t>Labour-share shift (pp)</w:t>
            </w:r>
          </w:p>
        </w:tc>
      </w:tr>
      <w:tr>
        <w:tc>
          <w:tcPr>
            <w:tcW w:type="dxa" w:w="1881"/>
          </w:tcPr>
          <w:p>
            <w:r/>
            <w:r>
              <w:rPr>
                <w:rFonts w:ascii="Times New Roman" w:hAnsi="Times New Roman" w:eastAsia="MS Mincho"/>
                <w:b w:val="0"/>
                <w:i w:val="0"/>
                <w:sz w:val="20"/>
              </w:rPr>
              <w:t>Ireland</w:t>
            </w:r>
          </w:p>
        </w:tc>
        <w:tc>
          <w:tcPr>
            <w:tcW w:type="dxa" w:w="1881"/>
          </w:tcPr>
          <w:p>
            <w:r/>
            <w:r>
              <w:rPr>
                <w:rFonts w:ascii="Times New Roman" w:hAnsi="Times New Roman" w:eastAsia="MS Mincho"/>
                <w:b w:val="0"/>
                <w:i w:val="0"/>
                <w:sz w:val="20"/>
              </w:rPr>
              <w:t>IRL</w:t>
            </w:r>
          </w:p>
        </w:tc>
        <w:tc>
          <w:tcPr>
            <w:tcW w:type="dxa" w:w="1881"/>
          </w:tcPr>
          <w:p>
            <w:r/>
            <w:r>
              <w:rPr>
                <w:rFonts w:ascii="Times New Roman" w:hAnsi="Times New Roman" w:eastAsia="MS Mincho"/>
                <w:b w:val="0"/>
                <w:i w:val="0"/>
                <w:sz w:val="20"/>
              </w:rPr>
              <w:t>-9.17</w:t>
            </w:r>
          </w:p>
        </w:tc>
        <w:tc>
          <w:tcPr>
            <w:tcW w:type="dxa" w:w="1881"/>
          </w:tcPr>
          <w:p>
            <w:r/>
            <w:r>
              <w:rPr>
                <w:rFonts w:ascii="Times New Roman" w:hAnsi="Times New Roman" w:eastAsia="MS Mincho"/>
                <w:b w:val="0"/>
                <w:i w:val="0"/>
                <w:sz w:val="20"/>
              </w:rPr>
              <w:t>-4.64</w:t>
            </w:r>
          </w:p>
        </w:tc>
        <w:tc>
          <w:tcPr>
            <w:tcW w:type="dxa" w:w="1881"/>
          </w:tcPr>
          <w:p>
            <w:r/>
            <w:r>
              <w:rPr>
                <w:rFonts w:ascii="Times New Roman" w:hAnsi="Times New Roman" w:eastAsia="MS Mincho"/>
                <w:b w:val="0"/>
                <w:i w:val="0"/>
                <w:sz w:val="20"/>
              </w:rPr>
              <w:t>4.64</w:t>
            </w:r>
          </w:p>
        </w:tc>
      </w:tr>
      <w:tr>
        <w:tc>
          <w:tcPr>
            <w:tcW w:type="dxa" w:w="1881"/>
          </w:tcPr>
          <w:p>
            <w:r/>
            <w:r>
              <w:rPr>
                <w:rFonts w:ascii="Times New Roman" w:hAnsi="Times New Roman" w:eastAsia="MS Mincho"/>
                <w:b w:val="0"/>
                <w:i w:val="0"/>
                <w:sz w:val="20"/>
              </w:rPr>
              <w:t>Costa Rica</w:t>
            </w:r>
          </w:p>
        </w:tc>
        <w:tc>
          <w:tcPr>
            <w:tcW w:type="dxa" w:w="1881"/>
          </w:tcPr>
          <w:p>
            <w:r/>
            <w:r>
              <w:rPr>
                <w:rFonts w:ascii="Times New Roman" w:hAnsi="Times New Roman" w:eastAsia="MS Mincho"/>
                <w:b w:val="0"/>
                <w:i w:val="0"/>
                <w:sz w:val="20"/>
              </w:rPr>
              <w:t>CRI</w:t>
            </w:r>
          </w:p>
        </w:tc>
        <w:tc>
          <w:tcPr>
            <w:tcW w:type="dxa" w:w="1881"/>
          </w:tcPr>
          <w:p>
            <w:r/>
            <w:r>
              <w:rPr>
                <w:rFonts w:ascii="Times New Roman" w:hAnsi="Times New Roman" w:eastAsia="MS Mincho"/>
                <w:b w:val="0"/>
                <w:i w:val="0"/>
                <w:sz w:val="20"/>
              </w:rPr>
              <w:t>-7.25</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Republic of Korea</w:t>
            </w:r>
          </w:p>
        </w:tc>
        <w:tc>
          <w:tcPr>
            <w:tcW w:type="dxa" w:w="1881"/>
          </w:tcPr>
          <w:p>
            <w:r/>
            <w:r>
              <w:rPr>
                <w:rFonts w:ascii="Times New Roman" w:hAnsi="Times New Roman" w:eastAsia="MS Mincho"/>
                <w:b w:val="0"/>
                <w:i w:val="0"/>
                <w:sz w:val="20"/>
              </w:rPr>
              <w:t>KOR</w:t>
            </w:r>
          </w:p>
        </w:tc>
        <w:tc>
          <w:tcPr>
            <w:tcW w:type="dxa" w:w="1881"/>
          </w:tcPr>
          <w:p>
            <w:r/>
            <w:r>
              <w:rPr>
                <w:rFonts w:ascii="Times New Roman" w:hAnsi="Times New Roman" w:eastAsia="MS Mincho"/>
                <w:b w:val="0"/>
                <w:i w:val="0"/>
                <w:sz w:val="20"/>
              </w:rPr>
              <w:t>-7.07</w:t>
            </w:r>
          </w:p>
        </w:tc>
        <w:tc>
          <w:tcPr>
            <w:tcW w:type="dxa" w:w="1881"/>
          </w:tcPr>
          <w:p>
            <w:r/>
            <w:r>
              <w:rPr>
                <w:rFonts w:ascii="Times New Roman" w:hAnsi="Times New Roman" w:eastAsia="MS Mincho"/>
                <w:b w:val="0"/>
                <w:i w:val="0"/>
                <w:sz w:val="20"/>
              </w:rPr>
              <w:t>-3.1</w:t>
            </w:r>
          </w:p>
        </w:tc>
        <w:tc>
          <w:tcPr>
            <w:tcW w:type="dxa" w:w="1881"/>
          </w:tcPr>
          <w:p>
            <w:r/>
            <w:r>
              <w:rPr>
                <w:rFonts w:ascii="Times New Roman" w:hAnsi="Times New Roman" w:eastAsia="MS Mincho"/>
                <w:b w:val="0"/>
                <w:i w:val="0"/>
                <w:sz w:val="20"/>
              </w:rPr>
              <w:t>3.1</w:t>
            </w:r>
          </w:p>
        </w:tc>
      </w:tr>
      <w:tr>
        <w:tc>
          <w:tcPr>
            <w:tcW w:type="dxa" w:w="1881"/>
          </w:tcPr>
          <w:p>
            <w:r/>
            <w:r>
              <w:rPr>
                <w:rFonts w:ascii="Times New Roman" w:hAnsi="Times New Roman" w:eastAsia="MS Mincho"/>
                <w:b w:val="0"/>
                <w:i w:val="0"/>
                <w:sz w:val="20"/>
              </w:rPr>
              <w:t>Slovakia</w:t>
            </w:r>
          </w:p>
        </w:tc>
        <w:tc>
          <w:tcPr>
            <w:tcW w:type="dxa" w:w="1881"/>
          </w:tcPr>
          <w:p>
            <w:r/>
            <w:r>
              <w:rPr>
                <w:rFonts w:ascii="Times New Roman" w:hAnsi="Times New Roman" w:eastAsia="MS Mincho"/>
                <w:b w:val="0"/>
                <w:i w:val="0"/>
                <w:sz w:val="20"/>
              </w:rPr>
              <w:t>SVK</w:t>
            </w:r>
          </w:p>
        </w:tc>
        <w:tc>
          <w:tcPr>
            <w:tcW w:type="dxa" w:w="1881"/>
          </w:tcPr>
          <w:p>
            <w:r/>
            <w:r>
              <w:rPr>
                <w:rFonts w:ascii="Times New Roman" w:hAnsi="Times New Roman" w:eastAsia="MS Mincho"/>
                <w:b w:val="0"/>
                <w:i w:val="0"/>
                <w:sz w:val="20"/>
              </w:rPr>
              <w:t>-6.72</w:t>
            </w:r>
          </w:p>
        </w:tc>
        <w:tc>
          <w:tcPr>
            <w:tcW w:type="dxa" w:w="1881"/>
          </w:tcPr>
          <w:p>
            <w:r/>
            <w:r>
              <w:rPr>
                <w:rFonts w:ascii="Times New Roman" w:hAnsi="Times New Roman" w:eastAsia="MS Mincho"/>
                <w:b w:val="0"/>
                <w:i w:val="0"/>
                <w:sz w:val="20"/>
              </w:rPr>
              <w:t>-3.19</w:t>
            </w:r>
          </w:p>
        </w:tc>
        <w:tc>
          <w:tcPr>
            <w:tcW w:type="dxa" w:w="1881"/>
          </w:tcPr>
          <w:p>
            <w:r/>
            <w:r>
              <w:rPr>
                <w:rFonts w:ascii="Times New Roman" w:hAnsi="Times New Roman" w:eastAsia="MS Mincho"/>
                <w:b w:val="0"/>
                <w:i w:val="0"/>
                <w:sz w:val="20"/>
              </w:rPr>
              <w:t>3.19</w:t>
            </w:r>
          </w:p>
        </w:tc>
      </w:tr>
      <w:tr>
        <w:tc>
          <w:tcPr>
            <w:tcW w:type="dxa" w:w="1881"/>
          </w:tcPr>
          <w:p>
            <w:r/>
            <w:r>
              <w:rPr>
                <w:rFonts w:ascii="Times New Roman" w:hAnsi="Times New Roman" w:eastAsia="MS Mincho"/>
                <w:b w:val="0"/>
                <w:i w:val="0"/>
                <w:sz w:val="20"/>
              </w:rPr>
              <w:t>Israel</w:t>
            </w:r>
          </w:p>
        </w:tc>
        <w:tc>
          <w:tcPr>
            <w:tcW w:type="dxa" w:w="1881"/>
          </w:tcPr>
          <w:p>
            <w:r/>
            <w:r>
              <w:rPr>
                <w:rFonts w:ascii="Times New Roman" w:hAnsi="Times New Roman" w:eastAsia="MS Mincho"/>
                <w:b w:val="0"/>
                <w:i w:val="0"/>
                <w:sz w:val="20"/>
              </w:rPr>
              <w:t>ISR</w:t>
            </w:r>
          </w:p>
        </w:tc>
        <w:tc>
          <w:tcPr>
            <w:tcW w:type="dxa" w:w="1881"/>
          </w:tcPr>
          <w:p>
            <w:r/>
            <w:r>
              <w:rPr>
                <w:rFonts w:ascii="Times New Roman" w:hAnsi="Times New Roman" w:eastAsia="MS Mincho"/>
                <w:b w:val="0"/>
                <w:i w:val="0"/>
                <w:sz w:val="20"/>
              </w:rPr>
              <w:t>-6.39</w:t>
            </w:r>
          </w:p>
        </w:tc>
        <w:tc>
          <w:tcPr>
            <w:tcW w:type="dxa" w:w="1881"/>
          </w:tcPr>
          <w:p>
            <w:r/>
            <w:r>
              <w:rPr>
                <w:rFonts w:ascii="Times New Roman" w:hAnsi="Times New Roman" w:eastAsia="MS Mincho"/>
                <w:b w:val="0"/>
                <w:i w:val="0"/>
                <w:sz w:val="20"/>
              </w:rPr>
              <w:t>-2.8</w:t>
            </w:r>
          </w:p>
        </w:tc>
        <w:tc>
          <w:tcPr>
            <w:tcW w:type="dxa" w:w="1881"/>
          </w:tcPr>
          <w:p>
            <w:r/>
            <w:r>
              <w:rPr>
                <w:rFonts w:ascii="Times New Roman" w:hAnsi="Times New Roman" w:eastAsia="MS Mincho"/>
                <w:b w:val="0"/>
                <w:i w:val="0"/>
                <w:sz w:val="20"/>
              </w:rPr>
              <w:t>2.8</w:t>
            </w:r>
          </w:p>
        </w:tc>
      </w:tr>
      <w:tr>
        <w:tc>
          <w:tcPr>
            <w:tcW w:type="dxa" w:w="1881"/>
          </w:tcPr>
          <w:p>
            <w:r/>
            <w:r>
              <w:rPr>
                <w:rFonts w:ascii="Times New Roman" w:hAnsi="Times New Roman" w:eastAsia="MS Mincho"/>
                <w:b w:val="0"/>
                <w:i w:val="0"/>
                <w:sz w:val="20"/>
              </w:rPr>
              <w:t>Lithuania</w:t>
            </w:r>
          </w:p>
        </w:tc>
        <w:tc>
          <w:tcPr>
            <w:tcW w:type="dxa" w:w="1881"/>
          </w:tcPr>
          <w:p>
            <w:r/>
            <w:r>
              <w:rPr>
                <w:rFonts w:ascii="Times New Roman" w:hAnsi="Times New Roman" w:eastAsia="MS Mincho"/>
                <w:b w:val="0"/>
                <w:i w:val="0"/>
                <w:sz w:val="20"/>
              </w:rPr>
              <w:t>LTU</w:t>
            </w:r>
          </w:p>
        </w:tc>
        <w:tc>
          <w:tcPr>
            <w:tcW w:type="dxa" w:w="1881"/>
          </w:tcPr>
          <w:p>
            <w:r/>
            <w:r>
              <w:rPr>
                <w:rFonts w:ascii="Times New Roman" w:hAnsi="Times New Roman" w:eastAsia="MS Mincho"/>
                <w:b w:val="0"/>
                <w:i w:val="0"/>
                <w:sz w:val="20"/>
              </w:rPr>
              <w:t>-6.34</w:t>
            </w:r>
          </w:p>
        </w:tc>
        <w:tc>
          <w:tcPr>
            <w:tcW w:type="dxa" w:w="1881"/>
          </w:tcPr>
          <w:p>
            <w:r/>
            <w:r>
              <w:rPr>
                <w:rFonts w:ascii="Times New Roman" w:hAnsi="Times New Roman" w:eastAsia="MS Mincho"/>
                <w:b w:val="0"/>
                <w:i w:val="0"/>
                <w:sz w:val="20"/>
              </w:rPr>
              <w:t>-3.21</w:t>
            </w:r>
          </w:p>
        </w:tc>
        <w:tc>
          <w:tcPr>
            <w:tcW w:type="dxa" w:w="1881"/>
          </w:tcPr>
          <w:p>
            <w:r/>
            <w:r>
              <w:rPr>
                <w:rFonts w:ascii="Times New Roman" w:hAnsi="Times New Roman" w:eastAsia="MS Mincho"/>
                <w:b w:val="0"/>
                <w:i w:val="0"/>
                <w:sz w:val="20"/>
              </w:rPr>
              <w:t>3.21</w:t>
            </w:r>
          </w:p>
        </w:tc>
      </w:tr>
      <w:tr>
        <w:tc>
          <w:tcPr>
            <w:tcW w:type="dxa" w:w="1881"/>
          </w:tcPr>
          <w:p>
            <w:r/>
            <w:r>
              <w:rPr>
                <w:rFonts w:ascii="Times New Roman" w:hAnsi="Times New Roman" w:eastAsia="MS Mincho"/>
                <w:b w:val="0"/>
                <w:i w:val="0"/>
                <w:sz w:val="20"/>
              </w:rPr>
              <w:t>Estonia</w:t>
            </w:r>
          </w:p>
        </w:tc>
        <w:tc>
          <w:tcPr>
            <w:tcW w:type="dxa" w:w="1881"/>
          </w:tcPr>
          <w:p>
            <w:r/>
            <w:r>
              <w:rPr>
                <w:rFonts w:ascii="Times New Roman" w:hAnsi="Times New Roman" w:eastAsia="MS Mincho"/>
                <w:b w:val="0"/>
                <w:i w:val="0"/>
                <w:sz w:val="20"/>
              </w:rPr>
              <w:t>EST</w:t>
            </w:r>
          </w:p>
        </w:tc>
        <w:tc>
          <w:tcPr>
            <w:tcW w:type="dxa" w:w="1881"/>
          </w:tcPr>
          <w:p>
            <w:r/>
            <w:r>
              <w:rPr>
                <w:rFonts w:ascii="Times New Roman" w:hAnsi="Times New Roman" w:eastAsia="MS Mincho"/>
                <w:b w:val="0"/>
                <w:i w:val="0"/>
                <w:sz w:val="20"/>
              </w:rPr>
              <w:t>-6.19</w:t>
            </w:r>
          </w:p>
        </w:tc>
        <w:tc>
          <w:tcPr>
            <w:tcW w:type="dxa" w:w="1881"/>
          </w:tcPr>
          <w:p>
            <w:r/>
            <w:r>
              <w:rPr>
                <w:rFonts w:ascii="Times New Roman" w:hAnsi="Times New Roman" w:eastAsia="MS Mincho"/>
                <w:b w:val="0"/>
                <w:i w:val="0"/>
                <w:sz w:val="20"/>
              </w:rPr>
              <w:t>-2.58</w:t>
            </w:r>
          </w:p>
        </w:tc>
        <w:tc>
          <w:tcPr>
            <w:tcW w:type="dxa" w:w="1881"/>
          </w:tcPr>
          <w:p>
            <w:r/>
            <w:r>
              <w:rPr>
                <w:rFonts w:ascii="Times New Roman" w:hAnsi="Times New Roman" w:eastAsia="MS Mincho"/>
                <w:b w:val="0"/>
                <w:i w:val="0"/>
                <w:sz w:val="20"/>
              </w:rPr>
              <w:t>2.58</w:t>
            </w:r>
          </w:p>
        </w:tc>
      </w:tr>
      <w:tr>
        <w:tc>
          <w:tcPr>
            <w:tcW w:type="dxa" w:w="1881"/>
          </w:tcPr>
          <w:p>
            <w:r/>
            <w:r>
              <w:rPr>
                <w:rFonts w:ascii="Times New Roman" w:hAnsi="Times New Roman" w:eastAsia="MS Mincho"/>
                <w:b w:val="0"/>
                <w:i w:val="0"/>
                <w:sz w:val="20"/>
              </w:rPr>
              <w:t>Luxembourg</w:t>
            </w:r>
          </w:p>
        </w:tc>
        <w:tc>
          <w:tcPr>
            <w:tcW w:type="dxa" w:w="1881"/>
          </w:tcPr>
          <w:p>
            <w:r/>
            <w:r>
              <w:rPr>
                <w:rFonts w:ascii="Times New Roman" w:hAnsi="Times New Roman" w:eastAsia="MS Mincho"/>
                <w:b w:val="0"/>
                <w:i w:val="0"/>
                <w:sz w:val="20"/>
              </w:rPr>
              <w:t>LUX</w:t>
            </w:r>
          </w:p>
        </w:tc>
        <w:tc>
          <w:tcPr>
            <w:tcW w:type="dxa" w:w="1881"/>
          </w:tcPr>
          <w:p>
            <w:r/>
            <w:r>
              <w:rPr>
                <w:rFonts w:ascii="Times New Roman" w:hAnsi="Times New Roman" w:eastAsia="MS Mincho"/>
                <w:b w:val="0"/>
                <w:i w:val="0"/>
                <w:sz w:val="20"/>
              </w:rPr>
              <w:t>-5.87</w:t>
            </w:r>
          </w:p>
        </w:tc>
        <w:tc>
          <w:tcPr>
            <w:tcW w:type="dxa" w:w="1881"/>
          </w:tcPr>
          <w:p>
            <w:r/>
            <w:r>
              <w:rPr>
                <w:rFonts w:ascii="Times New Roman" w:hAnsi="Times New Roman" w:eastAsia="MS Mincho"/>
                <w:b w:val="0"/>
                <w:i w:val="0"/>
                <w:sz w:val="20"/>
              </w:rPr>
              <w:t>-2.72</w:t>
            </w:r>
          </w:p>
        </w:tc>
        <w:tc>
          <w:tcPr>
            <w:tcW w:type="dxa" w:w="1881"/>
          </w:tcPr>
          <w:p>
            <w:r/>
            <w:r>
              <w:rPr>
                <w:rFonts w:ascii="Times New Roman" w:hAnsi="Times New Roman" w:eastAsia="MS Mincho"/>
                <w:b w:val="0"/>
                <w:i w:val="0"/>
                <w:sz w:val="20"/>
              </w:rPr>
              <w:t>2.72</w:t>
            </w:r>
          </w:p>
        </w:tc>
      </w:tr>
      <w:tr>
        <w:tc>
          <w:tcPr>
            <w:tcW w:type="dxa" w:w="1881"/>
          </w:tcPr>
          <w:p>
            <w:r/>
            <w:r>
              <w:rPr>
                <w:rFonts w:ascii="Times New Roman" w:hAnsi="Times New Roman" w:eastAsia="MS Mincho"/>
                <w:b w:val="0"/>
                <w:i w:val="0"/>
                <w:sz w:val="20"/>
              </w:rPr>
              <w:t>Czech Republic</w:t>
            </w:r>
          </w:p>
        </w:tc>
        <w:tc>
          <w:tcPr>
            <w:tcW w:type="dxa" w:w="1881"/>
          </w:tcPr>
          <w:p>
            <w:r/>
            <w:r>
              <w:rPr>
                <w:rFonts w:ascii="Times New Roman" w:hAnsi="Times New Roman" w:eastAsia="MS Mincho"/>
                <w:b w:val="0"/>
                <w:i w:val="0"/>
                <w:sz w:val="20"/>
              </w:rPr>
              <w:t>CZE</w:t>
            </w:r>
          </w:p>
        </w:tc>
        <w:tc>
          <w:tcPr>
            <w:tcW w:type="dxa" w:w="1881"/>
          </w:tcPr>
          <w:p>
            <w:r/>
            <w:r>
              <w:rPr>
                <w:rFonts w:ascii="Times New Roman" w:hAnsi="Times New Roman" w:eastAsia="MS Mincho"/>
                <w:b w:val="0"/>
                <w:i w:val="0"/>
                <w:sz w:val="20"/>
              </w:rPr>
              <w:t>-5.42</w:t>
            </w:r>
          </w:p>
        </w:tc>
        <w:tc>
          <w:tcPr>
            <w:tcW w:type="dxa" w:w="1881"/>
          </w:tcPr>
          <w:p>
            <w:r/>
            <w:r>
              <w:rPr>
                <w:rFonts w:ascii="Times New Roman" w:hAnsi="Times New Roman" w:eastAsia="MS Mincho"/>
                <w:b w:val="0"/>
                <w:i w:val="0"/>
                <w:sz w:val="20"/>
              </w:rPr>
              <w:t>-2.66</w:t>
            </w:r>
          </w:p>
        </w:tc>
        <w:tc>
          <w:tcPr>
            <w:tcW w:type="dxa" w:w="1881"/>
          </w:tcPr>
          <w:p>
            <w:r/>
            <w:r>
              <w:rPr>
                <w:rFonts w:ascii="Times New Roman" w:hAnsi="Times New Roman" w:eastAsia="MS Mincho"/>
                <w:b w:val="0"/>
                <w:i w:val="0"/>
                <w:sz w:val="20"/>
              </w:rPr>
              <w:t>2.66</w:t>
            </w:r>
          </w:p>
        </w:tc>
      </w:tr>
      <w:tr>
        <w:tc>
          <w:tcPr>
            <w:tcW w:type="dxa" w:w="1881"/>
          </w:tcPr>
          <w:p>
            <w:r/>
            <w:r>
              <w:rPr>
                <w:rFonts w:ascii="Times New Roman" w:hAnsi="Times New Roman" w:eastAsia="MS Mincho"/>
                <w:b w:val="0"/>
                <w:i w:val="0"/>
                <w:sz w:val="20"/>
              </w:rPr>
              <w:t>Poland</w:t>
            </w:r>
          </w:p>
        </w:tc>
        <w:tc>
          <w:tcPr>
            <w:tcW w:type="dxa" w:w="1881"/>
          </w:tcPr>
          <w:p>
            <w:r/>
            <w:r>
              <w:rPr>
                <w:rFonts w:ascii="Times New Roman" w:hAnsi="Times New Roman" w:eastAsia="MS Mincho"/>
                <w:b w:val="0"/>
                <w:i w:val="0"/>
                <w:sz w:val="20"/>
              </w:rPr>
              <w:t>POL</w:t>
            </w:r>
          </w:p>
        </w:tc>
        <w:tc>
          <w:tcPr>
            <w:tcW w:type="dxa" w:w="1881"/>
          </w:tcPr>
          <w:p>
            <w:r/>
            <w:r>
              <w:rPr>
                <w:rFonts w:ascii="Times New Roman" w:hAnsi="Times New Roman" w:eastAsia="MS Mincho"/>
                <w:b w:val="0"/>
                <w:i w:val="0"/>
                <w:sz w:val="20"/>
              </w:rPr>
              <w:t>-5.16</w:t>
            </w:r>
          </w:p>
        </w:tc>
        <w:tc>
          <w:tcPr>
            <w:tcW w:type="dxa" w:w="1881"/>
          </w:tcPr>
          <w:p>
            <w:r/>
            <w:r>
              <w:rPr>
                <w:rFonts w:ascii="Times New Roman" w:hAnsi="Times New Roman" w:eastAsia="MS Mincho"/>
                <w:b w:val="0"/>
                <w:i w:val="0"/>
                <w:sz w:val="20"/>
              </w:rPr>
              <w:t>-2.08</w:t>
            </w:r>
          </w:p>
        </w:tc>
        <w:tc>
          <w:tcPr>
            <w:tcW w:type="dxa" w:w="1881"/>
          </w:tcPr>
          <w:p>
            <w:r/>
            <w:r>
              <w:rPr>
                <w:rFonts w:ascii="Times New Roman" w:hAnsi="Times New Roman" w:eastAsia="MS Mincho"/>
                <w:b w:val="0"/>
                <w:i w:val="0"/>
                <w:sz w:val="20"/>
              </w:rPr>
              <w:t>2.08</w:t>
            </w:r>
          </w:p>
        </w:tc>
      </w:tr>
      <w:tr>
        <w:tc>
          <w:tcPr>
            <w:tcW w:type="dxa" w:w="1881"/>
          </w:tcPr>
          <w:p>
            <w:r/>
            <w:r>
              <w:rPr>
                <w:rFonts w:ascii="Times New Roman" w:hAnsi="Times New Roman" w:eastAsia="MS Mincho"/>
                <w:b w:val="0"/>
                <w:i w:val="0"/>
                <w:sz w:val="20"/>
              </w:rPr>
              <w:t>Colombia</w:t>
            </w:r>
          </w:p>
        </w:tc>
        <w:tc>
          <w:tcPr>
            <w:tcW w:type="dxa" w:w="1881"/>
          </w:tcPr>
          <w:p>
            <w:r/>
            <w:r>
              <w:rPr>
                <w:rFonts w:ascii="Times New Roman" w:hAnsi="Times New Roman" w:eastAsia="MS Mincho"/>
                <w:b w:val="0"/>
                <w:i w:val="0"/>
                <w:sz w:val="20"/>
              </w:rPr>
              <w:t>COL</w:t>
            </w:r>
          </w:p>
        </w:tc>
        <w:tc>
          <w:tcPr>
            <w:tcW w:type="dxa" w:w="1881"/>
          </w:tcPr>
          <w:p>
            <w:r/>
            <w:r>
              <w:rPr>
                <w:rFonts w:ascii="Times New Roman" w:hAnsi="Times New Roman" w:eastAsia="MS Mincho"/>
                <w:b w:val="0"/>
                <w:i w:val="0"/>
                <w:sz w:val="20"/>
              </w:rPr>
              <w:t>-5.05</w:t>
            </w:r>
          </w:p>
        </w:tc>
        <w:tc>
          <w:tcPr>
            <w:tcW w:type="dxa" w:w="1881"/>
          </w:tcPr>
          <w:p>
            <w:r/>
            <w:r>
              <w:rPr>
                <w:rFonts w:ascii="Times New Roman" w:hAnsi="Times New Roman" w:eastAsia="MS Mincho"/>
                <w:b w:val="0"/>
                <w:i w:val="0"/>
                <w:sz w:val="20"/>
              </w:rPr>
              <w:t>-2.71</w:t>
            </w:r>
          </w:p>
        </w:tc>
        <w:tc>
          <w:tcPr>
            <w:tcW w:type="dxa" w:w="1881"/>
          </w:tcPr>
          <w:p>
            <w:r/>
            <w:r>
              <w:rPr>
                <w:rFonts w:ascii="Times New Roman" w:hAnsi="Times New Roman" w:eastAsia="MS Mincho"/>
                <w:b w:val="0"/>
                <w:i w:val="0"/>
                <w:sz w:val="20"/>
              </w:rPr>
              <w:t>2.71</w:t>
            </w:r>
          </w:p>
        </w:tc>
      </w:tr>
      <w:tr>
        <w:tc>
          <w:tcPr>
            <w:tcW w:type="dxa" w:w="1881"/>
          </w:tcPr>
          <w:p>
            <w:r/>
            <w:r>
              <w:rPr>
                <w:rFonts w:ascii="Times New Roman" w:hAnsi="Times New Roman" w:eastAsia="MS Mincho"/>
                <w:b w:val="0"/>
                <w:i w:val="0"/>
                <w:sz w:val="20"/>
              </w:rPr>
              <w:t>Belgium</w:t>
            </w:r>
          </w:p>
        </w:tc>
        <w:tc>
          <w:tcPr>
            <w:tcW w:type="dxa" w:w="1881"/>
          </w:tcPr>
          <w:p>
            <w:r/>
            <w:r>
              <w:rPr>
                <w:rFonts w:ascii="Times New Roman" w:hAnsi="Times New Roman" w:eastAsia="MS Mincho"/>
                <w:b w:val="0"/>
                <w:i w:val="0"/>
                <w:sz w:val="20"/>
              </w:rPr>
              <w:t>BEL</w:t>
            </w:r>
          </w:p>
        </w:tc>
        <w:tc>
          <w:tcPr>
            <w:tcW w:type="dxa" w:w="1881"/>
          </w:tcPr>
          <w:p>
            <w:r/>
            <w:r>
              <w:rPr>
                <w:rFonts w:ascii="Times New Roman" w:hAnsi="Times New Roman" w:eastAsia="MS Mincho"/>
                <w:b w:val="0"/>
                <w:i w:val="0"/>
                <w:sz w:val="20"/>
              </w:rPr>
              <w:t>-4.99</w:t>
            </w:r>
          </w:p>
        </w:tc>
        <w:tc>
          <w:tcPr>
            <w:tcW w:type="dxa" w:w="1881"/>
          </w:tcPr>
          <w:p>
            <w:r/>
            <w:r>
              <w:rPr>
                <w:rFonts w:ascii="Times New Roman" w:hAnsi="Times New Roman" w:eastAsia="MS Mincho"/>
                <w:b w:val="0"/>
                <w:i w:val="0"/>
                <w:sz w:val="20"/>
              </w:rPr>
              <w:t>-1.89</w:t>
            </w:r>
          </w:p>
        </w:tc>
        <w:tc>
          <w:tcPr>
            <w:tcW w:type="dxa" w:w="1881"/>
          </w:tcPr>
          <w:p>
            <w:r/>
            <w:r>
              <w:rPr>
                <w:rFonts w:ascii="Times New Roman" w:hAnsi="Times New Roman" w:eastAsia="MS Mincho"/>
                <w:b w:val="0"/>
                <w:i w:val="0"/>
                <w:sz w:val="20"/>
              </w:rPr>
              <w:t>1.89</w:t>
            </w:r>
          </w:p>
        </w:tc>
      </w:tr>
      <w:tr>
        <w:tc>
          <w:tcPr>
            <w:tcW w:type="dxa" w:w="1881"/>
          </w:tcPr>
          <w:p>
            <w:r/>
            <w:r>
              <w:rPr>
                <w:rFonts w:ascii="Times New Roman" w:hAnsi="Times New Roman" w:eastAsia="MS Mincho"/>
                <w:b w:val="0"/>
                <w:i w:val="0"/>
                <w:sz w:val="20"/>
              </w:rPr>
              <w:t>Canada</w:t>
            </w:r>
          </w:p>
        </w:tc>
        <w:tc>
          <w:tcPr>
            <w:tcW w:type="dxa" w:w="1881"/>
          </w:tcPr>
          <w:p>
            <w:r/>
            <w:r>
              <w:rPr>
                <w:rFonts w:ascii="Times New Roman" w:hAnsi="Times New Roman" w:eastAsia="MS Mincho"/>
                <w:b w:val="0"/>
                <w:i w:val="0"/>
                <w:sz w:val="20"/>
              </w:rPr>
              <w:t>CAN</w:t>
            </w:r>
          </w:p>
        </w:tc>
        <w:tc>
          <w:tcPr>
            <w:tcW w:type="dxa" w:w="1881"/>
          </w:tcPr>
          <w:p>
            <w:r/>
            <w:r>
              <w:rPr>
                <w:rFonts w:ascii="Times New Roman" w:hAnsi="Times New Roman" w:eastAsia="MS Mincho"/>
                <w:b w:val="0"/>
                <w:i w:val="0"/>
                <w:sz w:val="20"/>
              </w:rPr>
              <w:t>-4.85</w:t>
            </w:r>
          </w:p>
        </w:tc>
        <w:tc>
          <w:tcPr>
            <w:tcW w:type="dxa" w:w="1881"/>
          </w:tcPr>
          <w:p>
            <w:r/>
            <w:r>
              <w:rPr>
                <w:rFonts w:ascii="Times New Roman" w:hAnsi="Times New Roman" w:eastAsia="MS Mincho"/>
                <w:b w:val="0"/>
                <w:i w:val="0"/>
                <w:sz w:val="20"/>
              </w:rPr>
              <w:t>-1.45</w:t>
            </w:r>
          </w:p>
        </w:tc>
        <w:tc>
          <w:tcPr>
            <w:tcW w:type="dxa" w:w="1881"/>
          </w:tcPr>
          <w:p>
            <w:r/>
            <w:r>
              <w:rPr>
                <w:rFonts w:ascii="Times New Roman" w:hAnsi="Times New Roman" w:eastAsia="MS Mincho"/>
                <w:b w:val="0"/>
                <w:i w:val="0"/>
                <w:sz w:val="20"/>
              </w:rPr>
              <w:t>1.45</w:t>
            </w:r>
          </w:p>
        </w:tc>
      </w:tr>
      <w:tr>
        <w:tc>
          <w:tcPr>
            <w:tcW w:type="dxa" w:w="1881"/>
          </w:tcPr>
          <w:p>
            <w:r/>
            <w:r>
              <w:rPr>
                <w:rFonts w:ascii="Times New Roman" w:hAnsi="Times New Roman" w:eastAsia="MS Mincho"/>
                <w:b w:val="0"/>
                <w:i w:val="0"/>
                <w:sz w:val="20"/>
              </w:rPr>
              <w:t>Australia</w:t>
            </w:r>
          </w:p>
        </w:tc>
        <w:tc>
          <w:tcPr>
            <w:tcW w:type="dxa" w:w="1881"/>
          </w:tcPr>
          <w:p>
            <w:r/>
            <w:r>
              <w:rPr>
                <w:rFonts w:ascii="Times New Roman" w:hAnsi="Times New Roman" w:eastAsia="MS Mincho"/>
                <w:b w:val="0"/>
                <w:i w:val="0"/>
                <w:sz w:val="20"/>
              </w:rPr>
              <w:t>AUS</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-1.79</w:t>
            </w:r>
          </w:p>
        </w:tc>
        <w:tc>
          <w:tcPr>
            <w:tcW w:type="dxa" w:w="1881"/>
          </w:tcPr>
          <w:p>
            <w:r/>
            <w:r>
              <w:rPr>
                <w:rFonts w:ascii="Times New Roman" w:hAnsi="Times New Roman" w:eastAsia="MS Mincho"/>
                <w:b w:val="0"/>
                <w:i w:val="0"/>
                <w:sz w:val="20"/>
              </w:rPr>
              <w:t>1.79</w:t>
            </w:r>
          </w:p>
        </w:tc>
      </w:tr>
      <w:tr>
        <w:tc>
          <w:tcPr>
            <w:tcW w:type="dxa" w:w="1881"/>
          </w:tcPr>
          <w:p>
            <w:r/>
            <w:r>
              <w:rPr>
                <w:rFonts w:ascii="Times New Roman" w:hAnsi="Times New Roman" w:eastAsia="MS Mincho"/>
                <w:b w:val="0"/>
                <w:i w:val="0"/>
                <w:sz w:val="20"/>
              </w:rPr>
              <w:t>Mexico</w:t>
            </w:r>
          </w:p>
        </w:tc>
        <w:tc>
          <w:tcPr>
            <w:tcW w:type="dxa" w:w="1881"/>
          </w:tcPr>
          <w:p>
            <w:r/>
            <w:r>
              <w:rPr>
                <w:rFonts w:ascii="Times New Roman" w:hAnsi="Times New Roman" w:eastAsia="MS Mincho"/>
                <w:b w:val="0"/>
                <w:i w:val="0"/>
                <w:sz w:val="20"/>
              </w:rPr>
              <w:t>MEX</w:t>
            </w:r>
          </w:p>
        </w:tc>
        <w:tc>
          <w:tcPr>
            <w:tcW w:type="dxa" w:w="1881"/>
          </w:tcPr>
          <w:p>
            <w:r/>
            <w:r>
              <w:rPr>
                <w:rFonts w:ascii="Times New Roman" w:hAnsi="Times New Roman" w:eastAsia="MS Mincho"/>
                <w:b w:val="0"/>
                <w:i w:val="0"/>
                <w:sz w:val="20"/>
              </w:rPr>
              <w:t>-4.84</w:t>
            </w:r>
          </w:p>
        </w:tc>
        <w:tc>
          <w:tcPr>
            <w:tcW w:type="dxa" w:w="1881"/>
          </w:tcPr>
          <w:p>
            <w:r/>
            <w:r>
              <w:rPr>
                <w:rFonts w:ascii="Times New Roman" w:hAnsi="Times New Roman" w:eastAsia="MS Mincho"/>
                <w:b w:val="0"/>
                <w:i w:val="0"/>
                <w:sz w:val="20"/>
              </w:rPr>
              <w:t>-2.93</w:t>
            </w:r>
          </w:p>
        </w:tc>
        <w:tc>
          <w:tcPr>
            <w:tcW w:type="dxa" w:w="1881"/>
          </w:tcPr>
          <w:p>
            <w:r/>
            <w:r>
              <w:rPr>
                <w:rFonts w:ascii="Times New Roman" w:hAnsi="Times New Roman" w:eastAsia="MS Mincho"/>
                <w:b w:val="0"/>
                <w:i w:val="0"/>
                <w:sz w:val="20"/>
              </w:rPr>
              <w:t>2.93</w:t>
            </w:r>
          </w:p>
        </w:tc>
      </w:tr>
      <w:tr>
        <w:tc>
          <w:tcPr>
            <w:tcW w:type="dxa" w:w="1881"/>
          </w:tcPr>
          <w:p>
            <w:r/>
            <w:r>
              <w:rPr>
                <w:rFonts w:ascii="Times New Roman" w:hAnsi="Times New Roman" w:eastAsia="MS Mincho"/>
                <w:b w:val="0"/>
                <w:i w:val="0"/>
                <w:sz w:val="20"/>
              </w:rPr>
              <w:t>Slovenia</w:t>
            </w:r>
          </w:p>
        </w:tc>
        <w:tc>
          <w:tcPr>
            <w:tcW w:type="dxa" w:w="1881"/>
          </w:tcPr>
          <w:p>
            <w:r/>
            <w:r>
              <w:rPr>
                <w:rFonts w:ascii="Times New Roman" w:hAnsi="Times New Roman" w:eastAsia="MS Mincho"/>
                <w:b w:val="0"/>
                <w:i w:val="0"/>
                <w:sz w:val="20"/>
              </w:rPr>
              <w:t>SVN</w:t>
            </w:r>
          </w:p>
        </w:tc>
        <w:tc>
          <w:tcPr>
            <w:tcW w:type="dxa" w:w="1881"/>
          </w:tcPr>
          <w:p>
            <w:r/>
            <w:r>
              <w:rPr>
                <w:rFonts w:ascii="Times New Roman" w:hAnsi="Times New Roman" w:eastAsia="MS Mincho"/>
                <w:b w:val="0"/>
                <w:i w:val="0"/>
                <w:sz w:val="20"/>
              </w:rPr>
              <w:t>-4.38</w:t>
            </w:r>
          </w:p>
        </w:tc>
        <w:tc>
          <w:tcPr>
            <w:tcW w:type="dxa" w:w="1881"/>
          </w:tcPr>
          <w:p>
            <w:r/>
            <w:r>
              <w:rPr>
                <w:rFonts w:ascii="Times New Roman" w:hAnsi="Times New Roman" w:eastAsia="MS Mincho"/>
                <w:b w:val="0"/>
                <w:i w:val="0"/>
                <w:sz w:val="20"/>
              </w:rPr>
              <w:t>-1.5</w:t>
            </w:r>
          </w:p>
        </w:tc>
        <w:tc>
          <w:tcPr>
            <w:tcW w:type="dxa" w:w="1881"/>
          </w:tcPr>
          <w:p>
            <w:r/>
            <w:r>
              <w:rPr>
                <w:rFonts w:ascii="Times New Roman" w:hAnsi="Times New Roman" w:eastAsia="MS Mincho"/>
                <w:b w:val="0"/>
                <w:i w:val="0"/>
                <w:sz w:val="20"/>
              </w:rPr>
              <w:t>1.5</w:t>
            </w:r>
          </w:p>
        </w:tc>
      </w:tr>
      <w:tr>
        <w:tc>
          <w:tcPr>
            <w:tcW w:type="dxa" w:w="1881"/>
          </w:tcPr>
          <w:p>
            <w:r/>
            <w:r>
              <w:rPr>
                <w:rFonts w:ascii="Times New Roman" w:hAnsi="Times New Roman" w:eastAsia="MS Mincho"/>
                <w:b w:val="0"/>
                <w:i w:val="0"/>
                <w:sz w:val="20"/>
              </w:rPr>
              <w:t>France</w:t>
            </w:r>
          </w:p>
        </w:tc>
        <w:tc>
          <w:tcPr>
            <w:tcW w:type="dxa" w:w="1881"/>
          </w:tcPr>
          <w:p>
            <w:r/>
            <w:r>
              <w:rPr>
                <w:rFonts w:ascii="Times New Roman" w:hAnsi="Times New Roman" w:eastAsia="MS Mincho"/>
                <w:b w:val="0"/>
                <w:i w:val="0"/>
                <w:sz w:val="20"/>
              </w:rPr>
              <w:t>FRA</w:t>
            </w:r>
          </w:p>
        </w:tc>
        <w:tc>
          <w:tcPr>
            <w:tcW w:type="dxa" w:w="1881"/>
          </w:tcPr>
          <w:p>
            <w:r/>
            <w:r>
              <w:rPr>
                <w:rFonts w:ascii="Times New Roman" w:hAnsi="Times New Roman" w:eastAsia="MS Mincho"/>
                <w:b w:val="0"/>
                <w:i w:val="0"/>
                <w:sz w:val="20"/>
              </w:rPr>
              <w:t>-4.33</w:t>
            </w:r>
          </w:p>
        </w:tc>
        <w:tc>
          <w:tcPr>
            <w:tcW w:type="dxa" w:w="1881"/>
          </w:tcPr>
          <w:p>
            <w:r/>
            <w:r>
              <w:rPr>
                <w:rFonts w:ascii="Times New Roman" w:hAnsi="Times New Roman" w:eastAsia="MS Mincho"/>
                <w:b w:val="0"/>
                <w:i w:val="0"/>
                <w:sz w:val="20"/>
              </w:rPr>
              <w:t>-1.56</w:t>
            </w:r>
          </w:p>
        </w:tc>
        <w:tc>
          <w:tcPr>
            <w:tcW w:type="dxa" w:w="1881"/>
          </w:tcPr>
          <w:p>
            <w:r/>
            <w:r>
              <w:rPr>
                <w:rFonts w:ascii="Times New Roman" w:hAnsi="Times New Roman" w:eastAsia="MS Mincho"/>
                <w:b w:val="0"/>
                <w:i w:val="0"/>
                <w:sz w:val="20"/>
              </w:rPr>
              <w:t>1.56</w:t>
            </w:r>
          </w:p>
        </w:tc>
      </w:tr>
      <w:tr>
        <w:tc>
          <w:tcPr>
            <w:tcW w:type="dxa" w:w="1881"/>
          </w:tcPr>
          <w:p>
            <w:r/>
            <w:r>
              <w:rPr>
                <w:rFonts w:ascii="Times New Roman" w:hAnsi="Times New Roman" w:eastAsia="MS Mincho"/>
                <w:b w:val="0"/>
                <w:i w:val="0"/>
                <w:sz w:val="20"/>
              </w:rPr>
              <w:t>Netherlands</w:t>
            </w:r>
          </w:p>
        </w:tc>
        <w:tc>
          <w:tcPr>
            <w:tcW w:type="dxa" w:w="1881"/>
          </w:tcPr>
          <w:p>
            <w:r/>
            <w:r>
              <w:rPr>
                <w:rFonts w:ascii="Times New Roman" w:hAnsi="Times New Roman" w:eastAsia="MS Mincho"/>
                <w:b w:val="0"/>
                <w:i w:val="0"/>
                <w:sz w:val="20"/>
              </w:rPr>
              <w:t>NLD</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-1.43</w:t>
            </w:r>
          </w:p>
        </w:tc>
        <w:tc>
          <w:tcPr>
            <w:tcW w:type="dxa" w:w="1881"/>
          </w:tcPr>
          <w:p>
            <w:r/>
            <w:r>
              <w:rPr>
                <w:rFonts w:ascii="Times New Roman" w:hAnsi="Times New Roman" w:eastAsia="MS Mincho"/>
                <w:b w:val="0"/>
                <w:i w:val="0"/>
                <w:sz w:val="20"/>
              </w:rPr>
              <w:t>1.43</w:t>
            </w:r>
          </w:p>
        </w:tc>
      </w:tr>
      <w:tr>
        <w:tc>
          <w:tcPr>
            <w:tcW w:type="dxa" w:w="1881"/>
          </w:tcPr>
          <w:p>
            <w:r/>
            <w:r>
              <w:rPr>
                <w:rFonts w:ascii="Times New Roman" w:hAnsi="Times New Roman" w:eastAsia="MS Mincho"/>
                <w:b w:val="0"/>
                <w:i w:val="0"/>
                <w:sz w:val="20"/>
              </w:rPr>
              <w:t>Hungary</w:t>
            </w:r>
          </w:p>
        </w:tc>
        <w:tc>
          <w:tcPr>
            <w:tcW w:type="dxa" w:w="1881"/>
          </w:tcPr>
          <w:p>
            <w:r/>
            <w:r>
              <w:rPr>
                <w:rFonts w:ascii="Times New Roman" w:hAnsi="Times New Roman" w:eastAsia="MS Mincho"/>
                <w:b w:val="0"/>
                <w:i w:val="0"/>
                <w:sz w:val="20"/>
              </w:rPr>
              <w:t>HUN</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-1.62</w:t>
            </w:r>
          </w:p>
        </w:tc>
        <w:tc>
          <w:tcPr>
            <w:tcW w:type="dxa" w:w="1881"/>
          </w:tcPr>
          <w:p>
            <w:r/>
            <w:r>
              <w:rPr>
                <w:rFonts w:ascii="Times New Roman" w:hAnsi="Times New Roman" w:eastAsia="MS Mincho"/>
                <w:b w:val="0"/>
                <w:i w:val="0"/>
                <w:sz w:val="20"/>
              </w:rPr>
              <w:t>1.62</w:t>
            </w:r>
          </w:p>
        </w:tc>
      </w:tr>
      <w:tr>
        <w:tc>
          <w:tcPr>
            <w:tcW w:type="dxa" w:w="1881"/>
          </w:tcPr>
          <w:p>
            <w:r/>
            <w:r>
              <w:rPr>
                <w:rFonts w:ascii="Times New Roman" w:hAnsi="Times New Roman" w:eastAsia="MS Mincho"/>
                <w:b w:val="0"/>
                <w:i w:val="0"/>
                <w:sz w:val="20"/>
              </w:rPr>
              <w:t>Sweden</w:t>
            </w:r>
          </w:p>
        </w:tc>
        <w:tc>
          <w:tcPr>
            <w:tcW w:type="dxa" w:w="1881"/>
          </w:tcPr>
          <w:p>
            <w:r/>
            <w:r>
              <w:rPr>
                <w:rFonts w:ascii="Times New Roman" w:hAnsi="Times New Roman" w:eastAsia="MS Mincho"/>
                <w:b w:val="0"/>
                <w:i w:val="0"/>
                <w:sz w:val="20"/>
              </w:rPr>
              <w:t>SWE</w:t>
            </w:r>
          </w:p>
        </w:tc>
        <w:tc>
          <w:tcPr>
            <w:tcW w:type="dxa" w:w="1881"/>
          </w:tcPr>
          <w:p>
            <w:r/>
            <w:r>
              <w:rPr>
                <w:rFonts w:ascii="Times New Roman" w:hAnsi="Times New Roman" w:eastAsia="MS Mincho"/>
                <w:b w:val="0"/>
                <w:i w:val="0"/>
                <w:sz w:val="20"/>
              </w:rPr>
              <w:t>-4.2</w:t>
            </w:r>
          </w:p>
        </w:tc>
        <w:tc>
          <w:tcPr>
            <w:tcW w:type="dxa" w:w="1881"/>
          </w:tcPr>
          <w:p>
            <w:r/>
            <w:r>
              <w:rPr>
                <w:rFonts w:ascii="Times New Roman" w:hAnsi="Times New Roman" w:eastAsia="MS Mincho"/>
                <w:b w:val="0"/>
                <w:i w:val="0"/>
                <w:sz w:val="20"/>
              </w:rPr>
              <w:t>-1.81</w:t>
            </w:r>
          </w:p>
        </w:tc>
        <w:tc>
          <w:tcPr>
            <w:tcW w:type="dxa" w:w="1881"/>
          </w:tcPr>
          <w:p>
            <w:r/>
            <w:r>
              <w:rPr>
                <w:rFonts w:ascii="Times New Roman" w:hAnsi="Times New Roman" w:eastAsia="MS Mincho"/>
                <w:b w:val="0"/>
                <w:i w:val="0"/>
                <w:sz w:val="20"/>
              </w:rPr>
              <w:t>1.81</w:t>
            </w:r>
          </w:p>
        </w:tc>
      </w:tr>
      <w:tr>
        <w:tc>
          <w:tcPr>
            <w:tcW w:type="dxa" w:w="1881"/>
          </w:tcPr>
          <w:p>
            <w:r/>
            <w:r>
              <w:rPr>
                <w:rFonts w:ascii="Times New Roman" w:hAnsi="Times New Roman" w:eastAsia="MS Mincho"/>
                <w:b w:val="0"/>
                <w:i w:val="0"/>
                <w:sz w:val="20"/>
              </w:rPr>
              <w:t>United Kingdom</w:t>
            </w:r>
          </w:p>
        </w:tc>
        <w:tc>
          <w:tcPr>
            <w:tcW w:type="dxa" w:w="1881"/>
          </w:tcPr>
          <w:p>
            <w:r/>
            <w:r>
              <w:rPr>
                <w:rFonts w:ascii="Times New Roman" w:hAnsi="Times New Roman" w:eastAsia="MS Mincho"/>
                <w:b w:val="0"/>
                <w:i w:val="0"/>
                <w:sz w:val="20"/>
              </w:rPr>
              <w:t>GBR</w:t>
            </w:r>
          </w:p>
        </w:tc>
        <w:tc>
          <w:tcPr>
            <w:tcW w:type="dxa" w:w="1881"/>
          </w:tcPr>
          <w:p>
            <w:r/>
            <w:r>
              <w:rPr>
                <w:rFonts w:ascii="Times New Roman" w:hAnsi="Times New Roman" w:eastAsia="MS Mincho"/>
                <w:b w:val="0"/>
                <w:i w:val="0"/>
                <w:sz w:val="20"/>
              </w:rPr>
              <w:t>-4.15</w:t>
            </w:r>
          </w:p>
        </w:tc>
        <w:tc>
          <w:tcPr>
            <w:tcW w:type="dxa" w:w="1881"/>
          </w:tcPr>
          <w:p>
            <w:r/>
            <w:r>
              <w:rPr>
                <w:rFonts w:ascii="Times New Roman" w:hAnsi="Times New Roman" w:eastAsia="MS Mincho"/>
                <w:b w:val="0"/>
                <w:i w:val="0"/>
                <w:sz w:val="20"/>
              </w:rPr>
              <w:t>-1.84</w:t>
            </w:r>
          </w:p>
        </w:tc>
        <w:tc>
          <w:tcPr>
            <w:tcW w:type="dxa" w:w="1881"/>
          </w:tcPr>
          <w:p>
            <w:r/>
            <w:r>
              <w:rPr>
                <w:rFonts w:ascii="Times New Roman" w:hAnsi="Times New Roman" w:eastAsia="MS Mincho"/>
                <w:b w:val="0"/>
                <w:i w:val="0"/>
                <w:sz w:val="20"/>
              </w:rPr>
              <w:t>1.84</w:t>
            </w:r>
          </w:p>
        </w:tc>
      </w:tr>
      <w:tr>
        <w:tc>
          <w:tcPr>
            <w:tcW w:type="dxa" w:w="1881"/>
          </w:tcPr>
          <w:p>
            <w:r/>
            <w:r>
              <w:rPr>
                <w:rFonts w:ascii="Times New Roman" w:hAnsi="Times New Roman" w:eastAsia="MS Mincho"/>
                <w:b w:val="0"/>
                <w:i w:val="0"/>
                <w:sz w:val="20"/>
              </w:rPr>
              <w:t>New Zealand</w:t>
            </w:r>
          </w:p>
        </w:tc>
        <w:tc>
          <w:tcPr>
            <w:tcW w:type="dxa" w:w="1881"/>
          </w:tcPr>
          <w:p>
            <w:r/>
            <w:r>
              <w:rPr>
                <w:rFonts w:ascii="Times New Roman" w:hAnsi="Times New Roman" w:eastAsia="MS Mincho"/>
                <w:b w:val="0"/>
                <w:i w:val="0"/>
                <w:sz w:val="20"/>
              </w:rPr>
              <w:t>NZL</w:t>
            </w:r>
          </w:p>
        </w:tc>
        <w:tc>
          <w:tcPr>
            <w:tcW w:type="dxa" w:w="1881"/>
          </w:tcPr>
          <w:p>
            <w:r/>
            <w:r>
              <w:rPr>
                <w:rFonts w:ascii="Times New Roman" w:hAnsi="Times New Roman" w:eastAsia="MS Mincho"/>
                <w:b w:val="0"/>
                <w:i w:val="0"/>
                <w:sz w:val="20"/>
              </w:rPr>
              <w:t>-4.07</w:t>
            </w:r>
          </w:p>
        </w:tc>
        <w:tc>
          <w:tcPr>
            <w:tcW w:type="dxa" w:w="1881"/>
          </w:tcPr>
          <w:p>
            <w:r/>
            <w:r>
              <w:rPr>
                <w:rFonts w:ascii="Times New Roman" w:hAnsi="Times New Roman" w:eastAsia="MS Mincho"/>
                <w:b w:val="0"/>
                <w:i w:val="0"/>
                <w:sz w:val="20"/>
              </w:rPr>
              <w:t>-1.7</w:t>
            </w:r>
          </w:p>
        </w:tc>
        <w:tc>
          <w:tcPr>
            <w:tcW w:type="dxa" w:w="1881"/>
          </w:tcPr>
          <w:p>
            <w:r/>
            <w:r>
              <w:rPr>
                <w:rFonts w:ascii="Times New Roman" w:hAnsi="Times New Roman" w:eastAsia="MS Mincho"/>
                <w:b w:val="0"/>
                <w:i w:val="0"/>
                <w:sz w:val="20"/>
              </w:rPr>
              <w:t>1.7</w:t>
            </w:r>
          </w:p>
        </w:tc>
      </w:tr>
      <w:tr>
        <w:tc>
          <w:tcPr>
            <w:tcW w:type="dxa" w:w="1881"/>
          </w:tcPr>
          <w:p>
            <w:r/>
            <w:r>
              <w:rPr>
                <w:rFonts w:ascii="Times New Roman" w:hAnsi="Times New Roman" w:eastAsia="MS Mincho"/>
                <w:b w:val="0"/>
                <w:i w:val="0"/>
                <w:sz w:val="20"/>
              </w:rPr>
              <w:t>Latvia</w:t>
            </w:r>
          </w:p>
        </w:tc>
        <w:tc>
          <w:tcPr>
            <w:tcW w:type="dxa" w:w="1881"/>
          </w:tcPr>
          <w:p>
            <w:r/>
            <w:r>
              <w:rPr>
                <w:rFonts w:ascii="Times New Roman" w:hAnsi="Times New Roman" w:eastAsia="MS Mincho"/>
                <w:b w:val="0"/>
                <w:i w:val="0"/>
                <w:sz w:val="20"/>
              </w:rPr>
              <w:t>LVA</w:t>
            </w:r>
          </w:p>
        </w:tc>
        <w:tc>
          <w:tcPr>
            <w:tcW w:type="dxa" w:w="1881"/>
          </w:tcPr>
          <w:p>
            <w:r/>
            <w:r>
              <w:rPr>
                <w:rFonts w:ascii="Times New Roman" w:hAnsi="Times New Roman" w:eastAsia="MS Mincho"/>
                <w:b w:val="0"/>
                <w:i w:val="0"/>
                <w:sz w:val="20"/>
              </w:rPr>
              <w:t>-3.97</w:t>
            </w:r>
          </w:p>
        </w:tc>
        <w:tc>
          <w:tcPr>
            <w:tcW w:type="dxa" w:w="1881"/>
          </w:tcPr>
          <w:p>
            <w:r/>
            <w:r>
              <w:rPr>
                <w:rFonts w:ascii="Times New Roman" w:hAnsi="Times New Roman" w:eastAsia="MS Mincho"/>
                <w:b w:val="0"/>
                <w:i w:val="0"/>
                <w:sz w:val="20"/>
              </w:rPr>
              <w:t>-1.93</w:t>
            </w:r>
          </w:p>
        </w:tc>
        <w:tc>
          <w:tcPr>
            <w:tcW w:type="dxa" w:w="1881"/>
          </w:tcPr>
          <w:p>
            <w:r/>
            <w:r>
              <w:rPr>
                <w:rFonts w:ascii="Times New Roman" w:hAnsi="Times New Roman" w:eastAsia="MS Mincho"/>
                <w:b w:val="0"/>
                <w:i w:val="0"/>
                <w:sz w:val="20"/>
              </w:rPr>
              <w:t>1.93</w:t>
            </w:r>
          </w:p>
        </w:tc>
      </w:tr>
      <w:tr>
        <w:tc>
          <w:tcPr>
            <w:tcW w:type="dxa" w:w="1881"/>
          </w:tcPr>
          <w:p>
            <w:r/>
            <w:r>
              <w:rPr>
                <w:rFonts w:ascii="Times New Roman" w:hAnsi="Times New Roman" w:eastAsia="MS Mincho"/>
                <w:b w:val="0"/>
                <w:i w:val="0"/>
                <w:sz w:val="20"/>
              </w:rPr>
              <w:t>Spain</w:t>
            </w:r>
          </w:p>
        </w:tc>
        <w:tc>
          <w:tcPr>
            <w:tcW w:type="dxa" w:w="1881"/>
          </w:tcPr>
          <w:p>
            <w:r/>
            <w:r>
              <w:rPr>
                <w:rFonts w:ascii="Times New Roman" w:hAnsi="Times New Roman" w:eastAsia="MS Mincho"/>
                <w:b w:val="0"/>
                <w:i w:val="0"/>
                <w:sz w:val="20"/>
              </w:rPr>
              <w:t>ESP</w:t>
            </w:r>
          </w:p>
        </w:tc>
        <w:tc>
          <w:tcPr>
            <w:tcW w:type="dxa" w:w="1881"/>
          </w:tcPr>
          <w:p>
            <w:r/>
            <w:r>
              <w:rPr>
                <w:rFonts w:ascii="Times New Roman" w:hAnsi="Times New Roman" w:eastAsia="MS Mincho"/>
                <w:b w:val="0"/>
                <w:i w:val="0"/>
                <w:sz w:val="20"/>
              </w:rPr>
              <w:t>-3.91</w:t>
            </w:r>
          </w:p>
        </w:tc>
        <w:tc>
          <w:tcPr>
            <w:tcW w:type="dxa" w:w="1881"/>
          </w:tcPr>
          <w:p>
            <w:r/>
            <w:r>
              <w:rPr>
                <w:rFonts w:ascii="Times New Roman" w:hAnsi="Times New Roman" w:eastAsia="MS Mincho"/>
                <w:b w:val="0"/>
                <w:i w:val="0"/>
                <w:sz w:val="20"/>
              </w:rPr>
              <w:t>-1.53</w:t>
            </w:r>
          </w:p>
        </w:tc>
        <w:tc>
          <w:tcPr>
            <w:tcW w:type="dxa" w:w="1881"/>
          </w:tcPr>
          <w:p>
            <w:r/>
            <w:r>
              <w:rPr>
                <w:rFonts w:ascii="Times New Roman" w:hAnsi="Times New Roman" w:eastAsia="MS Mincho"/>
                <w:b w:val="0"/>
                <w:i w:val="0"/>
                <w:sz w:val="20"/>
              </w:rPr>
              <w:t>1.53</w:t>
            </w:r>
          </w:p>
        </w:tc>
      </w:tr>
      <w:tr>
        <w:tc>
          <w:tcPr>
            <w:tcW w:type="dxa" w:w="1881"/>
          </w:tcPr>
          <w:p>
            <w:r/>
            <w:r>
              <w:rPr>
                <w:rFonts w:ascii="Times New Roman" w:hAnsi="Times New Roman" w:eastAsia="MS Mincho"/>
                <w:b w:val="0"/>
                <w:i w:val="0"/>
                <w:sz w:val="20"/>
              </w:rPr>
              <w:t>Austria</w:t>
            </w:r>
          </w:p>
        </w:tc>
        <w:tc>
          <w:tcPr>
            <w:tcW w:type="dxa" w:w="1881"/>
          </w:tcPr>
          <w:p>
            <w:r/>
            <w:r>
              <w:rPr>
                <w:rFonts w:ascii="Times New Roman" w:hAnsi="Times New Roman" w:eastAsia="MS Mincho"/>
                <w:b w:val="0"/>
                <w:i w:val="0"/>
                <w:sz w:val="20"/>
              </w:rPr>
              <w:t>AUT</w:t>
            </w:r>
          </w:p>
        </w:tc>
        <w:tc>
          <w:tcPr>
            <w:tcW w:type="dxa" w:w="1881"/>
          </w:tcPr>
          <w:p>
            <w:r/>
            <w:r>
              <w:rPr>
                <w:rFonts w:ascii="Times New Roman" w:hAnsi="Times New Roman" w:eastAsia="MS Mincho"/>
                <w:b w:val="0"/>
                <w:i w:val="0"/>
                <w:sz w:val="20"/>
              </w:rPr>
              <w:t>-3.86</w:t>
            </w:r>
          </w:p>
        </w:tc>
        <w:tc>
          <w:tcPr>
            <w:tcW w:type="dxa" w:w="1881"/>
          </w:tcPr>
          <w:p>
            <w:r/>
            <w:r>
              <w:rPr>
                <w:rFonts w:ascii="Times New Roman" w:hAnsi="Times New Roman" w:eastAsia="MS Mincho"/>
                <w:b w:val="0"/>
                <w:i w:val="0"/>
                <w:sz w:val="20"/>
              </w:rPr>
              <w:t>-1.51</w:t>
            </w:r>
          </w:p>
        </w:tc>
        <w:tc>
          <w:tcPr>
            <w:tcW w:type="dxa" w:w="1881"/>
          </w:tcPr>
          <w:p>
            <w:r/>
            <w:r>
              <w:rPr>
                <w:rFonts w:ascii="Times New Roman" w:hAnsi="Times New Roman" w:eastAsia="MS Mincho"/>
                <w:b w:val="0"/>
                <w:i w:val="0"/>
                <w:sz w:val="20"/>
              </w:rPr>
              <w:t>1.51</w:t>
            </w:r>
          </w:p>
        </w:tc>
      </w:tr>
      <w:tr>
        <w:tc>
          <w:tcPr>
            <w:tcW w:type="dxa" w:w="1881"/>
          </w:tcPr>
          <w:p>
            <w:r/>
            <w:r>
              <w:rPr>
                <w:rFonts w:ascii="Times New Roman" w:hAnsi="Times New Roman" w:eastAsia="MS Mincho"/>
                <w:b w:val="0"/>
                <w:i w:val="0"/>
                <w:sz w:val="20"/>
              </w:rPr>
              <w:t>Norway</w:t>
            </w:r>
          </w:p>
        </w:tc>
        <w:tc>
          <w:tcPr>
            <w:tcW w:type="dxa" w:w="1881"/>
          </w:tcPr>
          <w:p>
            <w:r/>
            <w:r>
              <w:rPr>
                <w:rFonts w:ascii="Times New Roman" w:hAnsi="Times New Roman" w:eastAsia="MS Mincho"/>
                <w:b w:val="0"/>
                <w:i w:val="0"/>
                <w:sz w:val="20"/>
              </w:rPr>
              <w:t>NOR</w:t>
            </w:r>
          </w:p>
        </w:tc>
        <w:tc>
          <w:tcPr>
            <w:tcW w:type="dxa" w:w="1881"/>
          </w:tcPr>
          <w:p>
            <w:r/>
            <w:r>
              <w:rPr>
                <w:rFonts w:ascii="Times New Roman" w:hAnsi="Times New Roman" w:eastAsia="MS Mincho"/>
                <w:b w:val="0"/>
                <w:i w:val="0"/>
                <w:sz w:val="20"/>
              </w:rPr>
              <w:t>-3.83</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r>
        <w:tc>
          <w:tcPr>
            <w:tcW w:type="dxa" w:w="1881"/>
          </w:tcPr>
          <w:p>
            <w:r/>
            <w:r>
              <w:rPr>
                <w:rFonts w:ascii="Times New Roman" w:hAnsi="Times New Roman" w:eastAsia="MS Mincho"/>
                <w:b w:val="0"/>
                <w:i w:val="0"/>
                <w:sz w:val="20"/>
              </w:rPr>
              <w:t>United States</w:t>
            </w:r>
          </w:p>
        </w:tc>
        <w:tc>
          <w:tcPr>
            <w:tcW w:type="dxa" w:w="1881"/>
          </w:tcPr>
          <w:p>
            <w:r/>
            <w:r>
              <w:rPr>
                <w:rFonts w:ascii="Times New Roman" w:hAnsi="Times New Roman" w:eastAsia="MS Mincho"/>
                <w:b w:val="0"/>
                <w:i w:val="0"/>
                <w:sz w:val="20"/>
              </w:rPr>
              <w:t>USA</w:t>
            </w:r>
          </w:p>
        </w:tc>
        <w:tc>
          <w:tcPr>
            <w:tcW w:type="dxa" w:w="1881"/>
          </w:tcPr>
          <w:p>
            <w:r/>
            <w:r>
              <w:rPr>
                <w:rFonts w:ascii="Times New Roman" w:hAnsi="Times New Roman" w:eastAsia="MS Mincho"/>
                <w:b w:val="0"/>
                <w:i w:val="0"/>
                <w:sz w:val="20"/>
              </w:rPr>
              <w:t>-3.7</w:t>
            </w:r>
          </w:p>
        </w:tc>
        <w:tc>
          <w:tcPr>
            <w:tcW w:type="dxa" w:w="1881"/>
          </w:tcPr>
          <w:p>
            <w:r/>
            <w:r>
              <w:rPr>
                <w:rFonts w:ascii="Times New Roman" w:hAnsi="Times New Roman" w:eastAsia="MS Mincho"/>
                <w:b w:val="0"/>
                <w:i w:val="0"/>
                <w:sz w:val="20"/>
              </w:rPr>
              <w:t>-1.44</w:t>
            </w:r>
          </w:p>
        </w:tc>
        <w:tc>
          <w:tcPr>
            <w:tcW w:type="dxa" w:w="1881"/>
          </w:tcPr>
          <w:p>
            <w:r/>
            <w:r>
              <w:rPr>
                <w:rFonts w:ascii="Times New Roman" w:hAnsi="Times New Roman" w:eastAsia="MS Mincho"/>
                <w:b w:val="0"/>
                <w:i w:val="0"/>
                <w:sz w:val="20"/>
              </w:rPr>
              <w:t>1.44</w:t>
            </w:r>
          </w:p>
        </w:tc>
      </w:tr>
      <w:tr>
        <w:tc>
          <w:tcPr>
            <w:tcW w:type="dxa" w:w="1881"/>
          </w:tcPr>
          <w:p>
            <w:r/>
            <w:r>
              <w:rPr>
                <w:rFonts w:ascii="Times New Roman" w:hAnsi="Times New Roman" w:eastAsia="MS Mincho"/>
                <w:b w:val="0"/>
                <w:i w:val="0"/>
                <w:sz w:val="20"/>
              </w:rPr>
              <w:t>Denmark</w:t>
            </w:r>
          </w:p>
        </w:tc>
        <w:tc>
          <w:tcPr>
            <w:tcW w:type="dxa" w:w="1881"/>
          </w:tcPr>
          <w:p>
            <w:r/>
            <w:r>
              <w:rPr>
                <w:rFonts w:ascii="Times New Roman" w:hAnsi="Times New Roman" w:eastAsia="MS Mincho"/>
                <w:b w:val="0"/>
                <w:i w:val="0"/>
                <w:sz w:val="20"/>
              </w:rPr>
              <w:t>DNK</w:t>
            </w:r>
          </w:p>
        </w:tc>
        <w:tc>
          <w:tcPr>
            <w:tcW w:type="dxa" w:w="1881"/>
          </w:tcPr>
          <w:p>
            <w:r/>
            <w:r>
              <w:rPr>
                <w:rFonts w:ascii="Times New Roman" w:hAnsi="Times New Roman" w:eastAsia="MS Mincho"/>
                <w:b w:val="0"/>
                <w:i w:val="0"/>
                <w:sz w:val="20"/>
              </w:rPr>
              <w:t>-3.56</w:t>
            </w:r>
          </w:p>
        </w:tc>
        <w:tc>
          <w:tcPr>
            <w:tcW w:type="dxa" w:w="1881"/>
          </w:tcPr>
          <w:p>
            <w:r/>
            <w:r>
              <w:rPr>
                <w:rFonts w:ascii="Times New Roman" w:hAnsi="Times New Roman" w:eastAsia="MS Mincho"/>
                <w:b w:val="0"/>
                <w:i w:val="0"/>
                <w:sz w:val="20"/>
              </w:rPr>
              <w:t>-1.31</w:t>
            </w:r>
          </w:p>
        </w:tc>
        <w:tc>
          <w:tcPr>
            <w:tcW w:type="dxa" w:w="1881"/>
          </w:tcPr>
          <w:p>
            <w:r/>
            <w:r>
              <w:rPr>
                <w:rFonts w:ascii="Times New Roman" w:hAnsi="Times New Roman" w:eastAsia="MS Mincho"/>
                <w:b w:val="0"/>
                <w:i w:val="0"/>
                <w:sz w:val="20"/>
              </w:rPr>
              <w:t>1.31</w:t>
            </w:r>
          </w:p>
        </w:tc>
      </w:tr>
      <w:tr>
        <w:tc>
          <w:tcPr>
            <w:tcW w:type="dxa" w:w="1881"/>
          </w:tcPr>
          <w:p>
            <w:r/>
            <w:r>
              <w:rPr>
                <w:rFonts w:ascii="Times New Roman" w:hAnsi="Times New Roman" w:eastAsia="MS Mincho"/>
                <w:b w:val="0"/>
                <w:i w:val="0"/>
                <w:sz w:val="20"/>
              </w:rPr>
              <w:t>Finland</w:t>
            </w:r>
          </w:p>
        </w:tc>
        <w:tc>
          <w:tcPr>
            <w:tcW w:type="dxa" w:w="1881"/>
          </w:tcPr>
          <w:p>
            <w:r/>
            <w:r>
              <w:rPr>
                <w:rFonts w:ascii="Times New Roman" w:hAnsi="Times New Roman" w:eastAsia="MS Mincho"/>
                <w:b w:val="0"/>
                <w:i w:val="0"/>
                <w:sz w:val="20"/>
              </w:rPr>
              <w:t>FIN</w:t>
            </w:r>
          </w:p>
        </w:tc>
        <w:tc>
          <w:tcPr>
            <w:tcW w:type="dxa" w:w="1881"/>
          </w:tcPr>
          <w:p>
            <w:r/>
            <w:r>
              <w:rPr>
                <w:rFonts w:ascii="Times New Roman" w:hAnsi="Times New Roman" w:eastAsia="MS Mincho"/>
                <w:b w:val="0"/>
                <w:i w:val="0"/>
                <w:sz w:val="20"/>
              </w:rPr>
              <w:t>-3.36</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1.21</w:t>
            </w:r>
          </w:p>
        </w:tc>
      </w:tr>
      <w:tr>
        <w:tc>
          <w:tcPr>
            <w:tcW w:type="dxa" w:w="1881"/>
          </w:tcPr>
          <w:p>
            <w:r/>
            <w:r>
              <w:rPr>
                <w:rFonts w:ascii="Times New Roman" w:hAnsi="Times New Roman" w:eastAsia="MS Mincho"/>
                <w:b w:val="0"/>
                <w:i w:val="0"/>
                <w:sz w:val="20"/>
              </w:rPr>
              <w:t>Iceland</w:t>
            </w:r>
          </w:p>
        </w:tc>
        <w:tc>
          <w:tcPr>
            <w:tcW w:type="dxa" w:w="1881"/>
          </w:tcPr>
          <w:p>
            <w:r/>
            <w:r>
              <w:rPr>
                <w:rFonts w:ascii="Times New Roman" w:hAnsi="Times New Roman" w:eastAsia="MS Mincho"/>
                <w:b w:val="0"/>
                <w:i w:val="0"/>
                <w:sz w:val="20"/>
              </w:rPr>
              <w:t>ISL</w:t>
            </w:r>
          </w:p>
        </w:tc>
        <w:tc>
          <w:tcPr>
            <w:tcW w:type="dxa" w:w="1881"/>
          </w:tcPr>
          <w:p>
            <w:r/>
            <w:r>
              <w:rPr>
                <w:rFonts w:ascii="Times New Roman" w:hAnsi="Times New Roman" w:eastAsia="MS Mincho"/>
                <w:b w:val="0"/>
                <w:i w:val="0"/>
                <w:sz w:val="20"/>
              </w:rPr>
              <w:t>-2.91</w:t>
            </w:r>
          </w:p>
        </w:tc>
        <w:tc>
          <w:tcPr>
            <w:tcW w:type="dxa" w:w="1881"/>
          </w:tcPr>
          <w:p>
            <w:r/>
            <w:r>
              <w:rPr>
                <w:rFonts w:ascii="Times New Roman" w:hAnsi="Times New Roman" w:eastAsia="MS Mincho"/>
                <w:b w:val="0"/>
                <w:i w:val="0"/>
                <w:sz w:val="20"/>
              </w:rPr>
              <w:t>-1.11</w:t>
            </w:r>
          </w:p>
        </w:tc>
        <w:tc>
          <w:tcPr>
            <w:tcW w:type="dxa" w:w="1881"/>
          </w:tcPr>
          <w:p>
            <w:r/>
            <w:r>
              <w:rPr>
                <w:rFonts w:ascii="Times New Roman" w:hAnsi="Times New Roman" w:eastAsia="MS Mincho"/>
                <w:b w:val="0"/>
                <w:i w:val="0"/>
                <w:sz w:val="20"/>
              </w:rPr>
              <w:t>1.11</w:t>
            </w:r>
          </w:p>
        </w:tc>
      </w:tr>
      <w:tr>
        <w:tc>
          <w:tcPr>
            <w:tcW w:type="dxa" w:w="1881"/>
          </w:tcPr>
          <w:p>
            <w:r/>
            <w:r>
              <w:rPr>
                <w:rFonts w:ascii="Times New Roman" w:hAnsi="Times New Roman" w:eastAsia="MS Mincho"/>
                <w:b w:val="0"/>
                <w:i w:val="0"/>
                <w:sz w:val="20"/>
              </w:rPr>
              <w:t>Portugal</w:t>
            </w:r>
          </w:p>
        </w:tc>
        <w:tc>
          <w:tcPr>
            <w:tcW w:type="dxa" w:w="1881"/>
          </w:tcPr>
          <w:p>
            <w:r/>
            <w:r>
              <w:rPr>
                <w:rFonts w:ascii="Times New Roman" w:hAnsi="Times New Roman" w:eastAsia="MS Mincho"/>
                <w:b w:val="0"/>
                <w:i w:val="0"/>
                <w:sz w:val="20"/>
              </w:rPr>
              <w:t>PRT</w:t>
            </w:r>
          </w:p>
        </w:tc>
        <w:tc>
          <w:tcPr>
            <w:tcW w:type="dxa" w:w="1881"/>
          </w:tcPr>
          <w:p>
            <w:r/>
            <w:r>
              <w:rPr>
                <w:rFonts w:ascii="Times New Roman" w:hAnsi="Times New Roman" w:eastAsia="MS Mincho"/>
                <w:b w:val="0"/>
                <w:i w:val="0"/>
                <w:sz w:val="20"/>
              </w:rPr>
              <w:t>-2.56</w:t>
            </w:r>
          </w:p>
        </w:tc>
        <w:tc>
          <w:tcPr>
            <w:tcW w:type="dxa" w:w="1881"/>
          </w:tcPr>
          <w:p>
            <w:r/>
            <w:r>
              <w:rPr>
                <w:rFonts w:ascii="Times New Roman" w:hAnsi="Times New Roman" w:eastAsia="MS Mincho"/>
                <w:b w:val="0"/>
                <w:i w:val="0"/>
                <w:sz w:val="20"/>
              </w:rPr>
              <w:t>-0.95</w:t>
            </w:r>
          </w:p>
        </w:tc>
        <w:tc>
          <w:tcPr>
            <w:tcW w:type="dxa" w:w="1881"/>
          </w:tcPr>
          <w:p>
            <w:r/>
            <w:r>
              <w:rPr>
                <w:rFonts w:ascii="Times New Roman" w:hAnsi="Times New Roman" w:eastAsia="MS Mincho"/>
                <w:b w:val="0"/>
                <w:i w:val="0"/>
                <w:sz w:val="20"/>
              </w:rPr>
              <w:t>0.95</w:t>
            </w:r>
          </w:p>
        </w:tc>
      </w:tr>
      <w:tr>
        <w:tc>
          <w:tcPr>
            <w:tcW w:type="dxa" w:w="1881"/>
          </w:tcPr>
          <w:p>
            <w:r/>
            <w:r>
              <w:rPr>
                <w:rFonts w:ascii="Times New Roman" w:hAnsi="Times New Roman" w:eastAsia="MS Mincho"/>
                <w:b w:val="0"/>
                <w:i w:val="0"/>
                <w:sz w:val="20"/>
              </w:rPr>
              <w:t>Italy</w:t>
            </w:r>
          </w:p>
        </w:tc>
        <w:tc>
          <w:tcPr>
            <w:tcW w:type="dxa" w:w="1881"/>
          </w:tcPr>
          <w:p>
            <w:r/>
            <w:r>
              <w:rPr>
                <w:rFonts w:ascii="Times New Roman" w:hAnsi="Times New Roman" w:eastAsia="MS Mincho"/>
                <w:b w:val="0"/>
                <w:i w:val="0"/>
                <w:sz w:val="20"/>
              </w:rPr>
              <w:t>ITA</w:t>
            </w:r>
          </w:p>
        </w:tc>
        <w:tc>
          <w:tcPr>
            <w:tcW w:type="dxa" w:w="1881"/>
          </w:tcPr>
          <w:p>
            <w:r/>
            <w:r>
              <w:rPr>
                <w:rFonts w:ascii="Times New Roman" w:hAnsi="Times New Roman" w:eastAsia="MS Mincho"/>
                <w:b w:val="0"/>
                <w:i w:val="0"/>
                <w:sz w:val="20"/>
              </w:rPr>
              <w:t>-2.06</w:t>
            </w:r>
          </w:p>
        </w:tc>
        <w:tc>
          <w:tcPr>
            <w:tcW w:type="dxa" w:w="1881"/>
          </w:tcPr>
          <w:p>
            <w:r/>
            <w:r>
              <w:rPr>
                <w:rFonts w:ascii="Times New Roman" w:hAnsi="Times New Roman" w:eastAsia="MS Mincho"/>
                <w:b w:val="0"/>
                <w:i w:val="0"/>
                <w:sz w:val="20"/>
              </w:rPr>
              <w:t>-0.91</w:t>
            </w:r>
          </w:p>
        </w:tc>
        <w:tc>
          <w:tcPr>
            <w:tcW w:type="dxa" w:w="1881"/>
          </w:tcPr>
          <w:p>
            <w:r/>
            <w:r>
              <w:rPr>
                <w:rFonts w:ascii="Times New Roman" w:hAnsi="Times New Roman" w:eastAsia="MS Mincho"/>
                <w:b w:val="0"/>
                <w:i w:val="0"/>
                <w:sz w:val="20"/>
              </w:rPr>
              <w:t>0.91</w:t>
            </w:r>
          </w:p>
        </w:tc>
      </w:tr>
      <w:tr>
        <w:tc>
          <w:tcPr>
            <w:tcW w:type="dxa" w:w="1881"/>
          </w:tcPr>
          <w:p>
            <w:r/>
            <w:r>
              <w:rPr>
                <w:rFonts w:ascii="Times New Roman" w:hAnsi="Times New Roman" w:eastAsia="MS Mincho"/>
                <w:b w:val="0"/>
                <w:i w:val="0"/>
                <w:sz w:val="20"/>
              </w:rPr>
              <w:t>Germany</w:t>
            </w:r>
          </w:p>
        </w:tc>
        <w:tc>
          <w:tcPr>
            <w:tcW w:type="dxa" w:w="1881"/>
          </w:tcPr>
          <w:p>
            <w:r/>
            <w:r>
              <w:rPr>
                <w:rFonts w:ascii="Times New Roman" w:hAnsi="Times New Roman" w:eastAsia="MS Mincho"/>
                <w:b w:val="0"/>
                <w:i w:val="0"/>
                <w:sz w:val="20"/>
              </w:rPr>
              <w:t>DEU</w:t>
            </w:r>
          </w:p>
        </w:tc>
        <w:tc>
          <w:tcPr>
            <w:tcW w:type="dxa" w:w="1881"/>
          </w:tcPr>
          <w:p>
            <w:r/>
            <w:r>
              <w:rPr>
                <w:rFonts w:ascii="Times New Roman" w:hAnsi="Times New Roman" w:eastAsia="MS Mincho"/>
                <w:b w:val="0"/>
                <w:i w:val="0"/>
                <w:sz w:val="20"/>
              </w:rPr>
              <w:t>-1.88</w:t>
            </w:r>
          </w:p>
        </w:tc>
        <w:tc>
          <w:tcPr>
            <w:tcW w:type="dxa" w:w="1881"/>
          </w:tcPr>
          <w:p>
            <w:r/>
            <w:r>
              <w:rPr>
                <w:rFonts w:ascii="Times New Roman" w:hAnsi="Times New Roman" w:eastAsia="MS Mincho"/>
                <w:b w:val="0"/>
                <w:i w:val="0"/>
                <w:sz w:val="20"/>
              </w:rPr>
              <w:t>-0.66</w:t>
            </w:r>
          </w:p>
        </w:tc>
        <w:tc>
          <w:tcPr>
            <w:tcW w:type="dxa" w:w="1881"/>
          </w:tcPr>
          <w:p>
            <w:r/>
            <w:r>
              <w:rPr>
                <w:rFonts w:ascii="Times New Roman" w:hAnsi="Times New Roman" w:eastAsia="MS Mincho"/>
                <w:b w:val="0"/>
                <w:i w:val="0"/>
                <w:sz w:val="20"/>
              </w:rPr>
              <w:t>0.66</w:t>
            </w:r>
          </w:p>
        </w:tc>
      </w:tr>
      <w:tr>
        <w:tc>
          <w:tcPr>
            <w:tcW w:type="dxa" w:w="1881"/>
          </w:tcPr>
          <w:p>
            <w:r/>
            <w:r>
              <w:rPr>
                <w:rFonts w:ascii="Times New Roman" w:hAnsi="Times New Roman" w:eastAsia="MS Mincho"/>
                <w:b w:val="0"/>
                <w:i w:val="0"/>
                <w:sz w:val="20"/>
              </w:rPr>
              <w:t>Japan</w:t>
            </w:r>
          </w:p>
        </w:tc>
        <w:tc>
          <w:tcPr>
            <w:tcW w:type="dxa" w:w="1881"/>
          </w:tcPr>
          <w:p>
            <w:r/>
            <w:r>
              <w:rPr>
                <w:rFonts w:ascii="Times New Roman" w:hAnsi="Times New Roman" w:eastAsia="MS Mincho"/>
                <w:b w:val="0"/>
                <w:i w:val="0"/>
                <w:sz w:val="20"/>
              </w:rPr>
              <w:t>JPN</w:t>
            </w:r>
          </w:p>
        </w:tc>
        <w:tc>
          <w:tcPr>
            <w:tcW w:type="dxa" w:w="1881"/>
          </w:tcPr>
          <w:p>
            <w:r/>
            <w:r>
              <w:rPr>
                <w:rFonts w:ascii="Times New Roman" w:hAnsi="Times New Roman" w:eastAsia="MS Mincho"/>
                <w:b w:val="0"/>
                <w:i w:val="0"/>
                <w:sz w:val="20"/>
              </w:rPr>
              <w:t>-1.21</w:t>
            </w:r>
          </w:p>
        </w:tc>
        <w:tc>
          <w:tcPr>
            <w:tcW w:type="dxa" w:w="1881"/>
          </w:tcPr>
          <w:p>
            <w:r/>
            <w:r>
              <w:rPr>
                <w:rFonts w:ascii="Times New Roman" w:hAnsi="Times New Roman" w:eastAsia="MS Mincho"/>
                <w:b w:val="0"/>
                <w:i w:val="0"/>
                <w:sz w:val="20"/>
              </w:rPr>
              <w:t>-0.49</w:t>
            </w:r>
          </w:p>
        </w:tc>
        <w:tc>
          <w:tcPr>
            <w:tcW w:type="dxa" w:w="1881"/>
          </w:tcPr>
          <w:p>
            <w:r/>
            <w:r>
              <w:rPr>
                <w:rFonts w:ascii="Times New Roman" w:hAnsi="Times New Roman" w:eastAsia="MS Mincho"/>
                <w:b w:val="0"/>
                <w:i w:val="0"/>
                <w:sz w:val="20"/>
              </w:rPr>
              <w:t>0.49</w:t>
            </w:r>
          </w:p>
        </w:tc>
      </w:tr>
      <w:tr>
        <w:tc>
          <w:tcPr>
            <w:tcW w:type="dxa" w:w="1881"/>
          </w:tcPr>
          <w:p>
            <w:r/>
            <w:r>
              <w:rPr>
                <w:rFonts w:ascii="Times New Roman" w:hAnsi="Times New Roman" w:eastAsia="MS Mincho"/>
                <w:b w:val="0"/>
                <w:i w:val="0"/>
                <w:sz w:val="20"/>
              </w:rPr>
              <w:t>Greece</w:t>
            </w:r>
          </w:p>
        </w:tc>
        <w:tc>
          <w:tcPr>
            <w:tcW w:type="dxa" w:w="1881"/>
          </w:tcPr>
          <w:p>
            <w:r/>
            <w:r>
              <w:rPr>
                <w:rFonts w:ascii="Times New Roman" w:hAnsi="Times New Roman" w:eastAsia="MS Mincho"/>
                <w:b w:val="0"/>
                <w:i w:val="0"/>
                <w:sz w:val="20"/>
              </w:rPr>
              <w:t>GRC</w:t>
            </w:r>
          </w:p>
        </w:tc>
        <w:tc>
          <w:tcPr>
            <w:tcW w:type="dxa" w:w="1881"/>
          </w:tcPr>
          <w:p>
            <w:r/>
            <w:r>
              <w:rPr>
                <w:rFonts w:ascii="Times New Roman" w:hAnsi="Times New Roman" w:eastAsia="MS Mincho"/>
                <w:b w:val="0"/>
                <w:i w:val="0"/>
                <w:sz w:val="20"/>
              </w:rPr>
              <w:t>-0.58</w:t>
            </w:r>
          </w:p>
        </w:tc>
        <w:tc>
          <w:tcPr>
            <w:tcW w:type="dxa" w:w="1881"/>
          </w:tcPr>
          <w:p>
            <w:r/>
            <w:r>
              <w:rPr>
                <w:rFonts w:ascii="Times New Roman" w:hAnsi="Times New Roman" w:eastAsia="MS Mincho"/>
                <w:b w:val="0"/>
                <w:i w:val="0"/>
                <w:sz w:val="20"/>
              </w:rPr>
              <w:t>-0.3</w:t>
            </w:r>
          </w:p>
        </w:tc>
        <w:tc>
          <w:tcPr>
            <w:tcW w:type="dxa" w:w="1881"/>
          </w:tcPr>
          <w:p>
            <w:r/>
            <w:r>
              <w:rPr>
                <w:rFonts w:ascii="Times New Roman" w:hAnsi="Times New Roman" w:eastAsia="MS Mincho"/>
                <w:b w:val="0"/>
                <w:i w:val="0"/>
                <w:sz w:val="20"/>
              </w:rPr>
              <w:t>0.3</w:t>
            </w:r>
          </w:p>
        </w:tc>
      </w:tr>
      <w:tr>
        <w:tc>
          <w:tcPr>
            <w:tcW w:type="dxa" w:w="1881"/>
          </w:tcPr>
          <w:p>
            <w:r/>
            <w:r>
              <w:rPr>
                <w:rFonts w:ascii="Times New Roman" w:hAnsi="Times New Roman" w:eastAsia="MS Mincho"/>
                <w:b w:val="0"/>
                <w:i w:val="0"/>
                <w:sz w:val="20"/>
              </w:rPr>
              <w:t>Median</w:t>
            </w:r>
          </w:p>
        </w:tc>
        <w:tc>
          <w:tcPr>
            <w:tcW w:type="dxa" w:w="1881"/>
          </w:tcPr>
          <w:p>
            <w:r/>
            <w:r>
              <w:rPr>
                <w:rFonts w:ascii="Times New Roman" w:hAnsi="Times New Roman" w:eastAsia="MS Mincho"/>
                <w:b w:val="0"/>
                <w:i w:val="0"/>
                <w:sz w:val="20"/>
              </w:rPr>
              <w:t>nan</w:t>
            </w:r>
          </w:p>
        </w:tc>
        <w:tc>
          <w:tcPr>
            <w:tcW w:type="dxa" w:w="1881"/>
          </w:tcPr>
          <w:p>
            <w:r/>
            <w:r>
              <w:rPr>
                <w:rFonts w:ascii="Times New Roman" w:hAnsi="Times New Roman" w:eastAsia="MS Mincho"/>
                <w:b w:val="0"/>
                <w:i w:val="0"/>
                <w:sz w:val="20"/>
              </w:rPr>
              <w:t>-4.29</w:t>
            </w:r>
          </w:p>
        </w:tc>
        <w:tc>
          <w:tcPr>
            <w:tcW w:type="dxa" w:w="1881"/>
          </w:tcPr>
          <w:p>
            <w:r/>
            <w:r>
              <w:rPr>
                <w:rFonts w:ascii="Times New Roman" w:hAnsi="Times New Roman" w:eastAsia="MS Mincho"/>
                <w:b w:val="0"/>
                <w:i w:val="0"/>
                <w:sz w:val="20"/>
              </w:rPr>
              <w:t>-1.74</w:t>
            </w:r>
          </w:p>
        </w:tc>
        <w:tc>
          <w:tcPr>
            <w:tcW w:type="dxa" w:w="1881"/>
          </w:tcPr>
          <w:p>
            <w:r/>
            <w:r>
              <w:rPr>
                <w:rFonts w:ascii="Times New Roman" w:hAnsi="Times New Roman" w:eastAsia="MS Mincho"/>
                <w:b w:val="0"/>
                <w:i w:val="0"/>
                <w:sz w:val="20"/>
              </w:rPr>
              <w:t>1.74</w:t>
            </w:r>
          </w:p>
        </w:tc>
      </w:tr>
    </w:tbl>
    <w:p>
      <w:pPr>
        <w:spacing w:after="120" w:line="360" w:lineRule="auto"/>
        <w:ind w:firstLine="480"/>
      </w:pPr>
      <w:r>
        <w:rPr>
          <w:rFonts w:ascii="Times New Roman" w:hAnsi="Times New Roman" w:eastAsia="MS Mincho"/>
          <w:b/>
          <w:i w:val="0"/>
          <w:sz w:val="24"/>
        </w:rPr>
        <w:t>Table 6.</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6.</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 xml:space="preserve">Karabarbounis, L., &amp; Neiman, B. (2014). The global decline of the labor share. </w:t>
      </w:r>
      <w:r>
        <w:rPr>
          <w:rFonts w:ascii="Times New Roman" w:hAnsi="Times New Roman" w:eastAsia="MS Mincho"/>
          <w:b w:val="0"/>
          <w:i/>
          <w:sz w:val="24"/>
        </w:rPr>
        <w:t>Quarterly Journal of Economics</w:t>
      </w:r>
      <w:r>
        <w:rPr>
          <w:rFonts w:ascii="Times New Roman" w:hAnsi="Times New Roman" w:eastAsia="MS Mincho"/>
          <w:b w:val="0"/>
          <w:i w:val="0"/>
          <w:sz w:val="24"/>
        </w:rPr>
        <w:t xml:space="preserve">, </w:t>
      </w:r>
      <w:r>
        <w:rPr>
          <w:rFonts w:ascii="Times New Roman" w:hAnsi="Times New Roman" w:eastAsia="MS Mincho"/>
          <w:b w:val="0"/>
          <w:i/>
          <w:sz w:val="24"/>
        </w:rPr>
        <w:t>129</w:t>
      </w:r>
      <w:r>
        <w:rPr>
          <w:rFonts w:ascii="Times New Roman" w:hAnsi="Times New Roman" w:eastAsia="MS Mincho"/>
          <w:b w:val="0"/>
          <w:i w:val="0"/>
          <w:sz w:val="24"/>
        </w:rPr>
        <w:t>(1), 61–103. https://doi.org/10.1093/qje/qjt032</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