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</w:pPr>
      <w:r>
        <w:rPr>
          <w:rFonts w:ascii="Times New Roman" w:hAnsi="Times New Roman" w:eastAsia="MS Mincho"/>
          <w:b/>
          <w:i w:val="0"/>
          <w:sz w:val="28"/>
        </w:rPr>
        <w:t>Table 1. Population-capital tempo correspondence.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Concept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Population (Bongaarts-Feeney, 1998)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Capital (this paper)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Flow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Births B(t)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Investment I(t)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Stock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Population N(t)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Reproducible capital W(t)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Quantum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Total Fertility Rate TFR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Investment rate I/Y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Tempo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Mean age at childbearing MAC(t)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Time-to-build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μ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(t)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Bongaarts-Feeney adjustment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TFR* = TFR/(1 − r(t))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K*(t) via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μ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(t)-weighted PIM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Forgotten parameter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Parity-specific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σ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 (Goldstein-Lutz-Scherbov, 2003)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Intangible share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β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 (Corrado-Hulten-Sichel, 2009)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Book-keeping identity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dN/dt = B − d·N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dW/dt = I −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δ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W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Joint identification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TFR* vs. life-table consistency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PIM vs. CWON consistency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