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6. K-level measurement consequences (2010-2019 country means).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K gap (%)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TFP shift (pp)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Labour-share shift (pp)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-9.17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-4.64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-7.07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-6.72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-3.19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-6.39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-6.34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-6.19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-5.87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-2.72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-5.42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-2.66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-5.05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-2.71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-4.99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-4.84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2.93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-4.38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-4.33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-1.62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-4.15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-4.07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-3.97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-1.93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-3.91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-3.86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-1.51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-3.83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-1.44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-3.56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-1.31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-3.36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-2.91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-1.11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-2.56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-2.06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-0.91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-0.66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-1.21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-0.49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-0.58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Median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nan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-4.29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-1.74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