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3,479 cesarean deliveries performed at a single institution between April 2014 and October 2024. After exclusion criteria, 3,188 cases (singleton 2,846; twin 342)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(17.7%) and twin (17.0%) groups (adjusted odds ratio [aOR] 0.92, 95% confidence interval [CI] 0.67–1.27, P = 0.624). In contrast, under the narrow definition (5-HT3 antagonists), IONV was significantly higher in the twin group (2.3% vs 0.9%; aOR 3.18, 95% CI 1.38–7.36, P = 0.007). This finding was robust across covariate sensitivity analyses, emergency subgroup stratification, and 10,000-replicate stratified bootstrap validation.</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This suggests that more severe IONV may occur in twin pregnancies during cesarean delivery.</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3,479 patients who underwent cesarean delivery at Juntendo University Shizuoka Hospital between April 1, 2014, and October 23, 2024, were eligible for inclusion (singleton 3,113; twin 366).</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other exclusion criteria, missing anesthesia data. Additionally, 55 cases with antiemetic administration before induction of anesthesia were excluded as prophylactic use.</w:t>
      </w:r>
    </w:p>
    <w:p>
      <w:r>
        <w:t>After applying these criteria, 3,188 cases (singleton 2,846; twin 342) were included in the primary analysis (Fig.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delivery or from delivery to leaving the operating room. The following seven agents were included: metoclopramide, droperidol, ondansetron, granisetron, novamin (prochlorperazine), hydroxyzine (Atarax-P), and dexamethasone.</w:t>
        <w:br/>
        <w:t>Secondary outcome: IONV was defined as antiemetic administration from anesthesia induction to delivery only.</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Furthermore, to examine whether emergency cesarean delivery acts as an effect modifier, subgroup analyses restricted to elective cases only and emergency cases only were conducted. An interaction analysis including an emergency × twin interaction term in the model was also performed.</w:t>
      </w:r>
    </w:p>
    <w:p>
      <w:pPr>
        <w:pStyle w:val="Heading2"/>
      </w:pPr>
      <w:r>
        <w:rPr>
          <w:color w:val="000000"/>
        </w:rPr>
        <w:t>Bootstrap Validation (STROBE Item 13)</w:t>
      </w:r>
    </w:p>
    <w:p>
      <w:r>
        <w:t>Given the approximately 8:1 imbalance in sample size between singleton and twin groups, a stratified bootstrap procedure was performed to validate the robustness of the logistic regression confidence intervals. In each of 10,000 resamples, singleton and twin cases were resampled separately with replacement to maintain group proportions (stratified resampling). Percentile and bias-corrected and accelerated (BCa) 95% confidence intervals were calculated. The BCa bias-correction factor z0 was estimated from the bootstrap distribution median, and the acceleration factor a was estimated using the jackknife method.</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the 3,479 cesarean deliveries during the study period, 236 cases were excluded: general anesthesia (n = 6), systolic blood pressure &lt;90 mmHg at admission (n = 4), intrauterine fetal death (n = 13), vanishing twin (n = 3), triplet pregnancy (n = 5), other criteria (n = 147), and missing anesthesia data (n = 58). An additional 55 cases with preoperative antiemetic use were excluded, yielding a final analytical cohort of 3,188 cases (singleton 2,846; twin 342) (Fig. 1).</w:t>
      </w:r>
    </w:p>
    <w:p>
      <w:pPr>
        <w:pStyle w:val="Heading2"/>
      </w:pPr>
      <w:r>
        <w:rPr>
          <w:color w:val="000000"/>
        </w:rPr>
        <w:t>Baseline Characteristics (STROBE Item 15)</w:t>
      </w:r>
    </w:p>
    <w:p>
      <w:r>
        <w:t>Baseline characteristics of the 3,188 analyzed patients are presented in Table 1.</w:t>
      </w:r>
    </w:p>
    <w:p>
      <w:r>
        <w:rPr>
          <w:b/>
        </w:rPr>
        <w:t>Table 1. Baseline Characteristics (Singleton n = 2,846 vs Twin n = 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2,846)</w:t>
            </w:r>
          </w:p>
        </w:tc>
        <w:tc>
          <w:tcPr>
            <w:tcW w:type="dxa" w:w="2160"/>
          </w:tcPr>
          <w:p>
            <w:r>
              <w:rPr>
                <w:b/>
                <w:sz w:val="18"/>
              </w:rPr>
              <w:t>Twin (n = 342)</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IONV Incidence (STROBE Item 16)</w:t>
      </w:r>
    </w:p>
    <w:p>
      <w:r>
        <w:t>Under the broad definition, the primary-outcome IONV rate was 17.7% (504/2,846) in the singleton group and 17.0% (58/342) in the twin group (Table 2, Fig. 2).</w:t>
      </w:r>
    </w:p>
    <w:p>
      <w:r>
        <w:t>Under the narrow definition (5-HT3 antagonists), the IONV rate was 0.9% (25/2,846) in the singleton group and 2.3% (8/342)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Broad, Secondary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Narrow, Primary</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Narrow, Secondary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0.92, 95% CI 0.67–1.27, P = 0.624).</w:t>
      </w:r>
    </w:p>
    <w:p>
      <w:r>
        <w:t>Under the narrow definition, only 33 events were observed, necessitating the use of a reduced model. Twin pregnancy was significantly associated with 5-HT3 antagonist use (aOR 3.18, 95% CI 1.38–7.36, P = 0.007) (Fig.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18 models, the aOR for twin pregnancy ranged from 2.56 to 3.67, and 18/18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1,452), prior cesarean delivery (n = 1,320), HDP (n = 317), and preoperative steroid use (n = 232), the elective, low-risk sensitivity subgroup comprised 663 cases (singleton 479; twin 184) (with overlap; Fig. 1).</w:t>
      </w:r>
    </w:p>
    <w:p>
      <w:r>
        <w:t>Under the broad definition, IONV rates did not differ significantly (singleton 21.9% vs twin 14.7%; aOR 0.65, P = 0.086). Under the narrow definition, IONV remained significantly higher in the twin group (singleton 0.4% vs twin 3.3%; aOR 13.59, 95% CI 1.74–106.04, P = 0.013)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Broad, Secondary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Narrow, Primary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Narrow, Secondary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Twin Effect on IONV: Broad vs Narrow Definition (Elective, Low-Risk Subgroup)</w:t>
      </w:r>
    </w:p>
    <w:p>
      <w:pPr>
        <w:pStyle w:val="Heading2"/>
      </w:pPr>
      <w:r>
        <w:rPr>
          <w:color w:val="000000"/>
        </w:rPr>
        <w:t>Emergency Cesarean Delivery Sensitivity Analysis (STROBE Item 18)</w:t>
      </w:r>
    </w:p>
    <w:p>
      <w:r>
        <w:t>To examine whether emergency cesarean delivery modifies the twin effect on IONV, separate analyses were performed for elective cases only (n = 1,736; singleton 1,515; twin 221) and emergency cases only (n = 1,452; singleton 1,331; twin 121) (Table 5).</w:t>
      </w:r>
    </w:p>
    <w:p>
      <w:r>
        <w:t>In the elective subgroup, the narrow-definition primary outcome showed a substantially larger effect size (aOR 8.99, 95% CI 2.50–32.29, P &lt; 0.001), and the narrow-definition secondary outcome also reached significance (aOR 8.39, 95% CI 1.21–58.18, P = 0.031). In contrast, among emergency cases, the twin effect was entirely absent (narrow primary aOR 0.95, P = 0.958).</w:t>
      </w:r>
    </w:p>
    <w:p>
      <w:r>
        <w:t>Notably, under the broad definition in elective cases, the twin group showed significantly lower IONV (18.5% vs 14.0%; aOR 0.64, P = 0.047). Interaction analysis revealed a significant emergency × twin interaction for the broad primary outcome (interaction OR 2.05, P = 0.023).</w:t>
      </w:r>
    </w:p>
    <w:p>
      <w:r>
        <w:rPr>
          <w:b/>
        </w:rPr>
        <w:t>Table 5. Emergency Cesarean Delivery Sensitivity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Subgroup</w:t>
            </w:r>
          </w:p>
        </w:tc>
        <w:tc>
          <w:tcPr>
            <w:tcW w:type="dxa" w:w="1234"/>
          </w:tcPr>
          <w:p>
            <w:r>
              <w:rPr>
                <w:b/>
                <w:sz w:val="16"/>
              </w:rPr>
              <w:t>Outcome</w:t>
            </w:r>
          </w:p>
        </w:tc>
        <w:tc>
          <w:tcPr>
            <w:tcW w:type="dxa" w:w="1234"/>
          </w:tcPr>
          <w:p>
            <w:r>
              <w:rPr>
                <w:b/>
                <w:sz w:val="16"/>
              </w:rPr>
              <w:t>Singleton</w:t>
            </w:r>
          </w:p>
        </w:tc>
        <w:tc>
          <w:tcPr>
            <w:tcW w:type="dxa" w:w="1234"/>
          </w:tcPr>
          <w:p>
            <w:r>
              <w:rPr>
                <w:b/>
                <w:sz w:val="16"/>
              </w:rPr>
              <w:t>Twin</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Elective only</w:t>
            </w:r>
          </w:p>
        </w:tc>
        <w:tc>
          <w:tcPr>
            <w:tcW w:type="dxa" w:w="1234"/>
          </w:tcPr>
          <w:p>
            <w:r>
              <w:rPr>
                <w:sz w:val="16"/>
              </w:rPr>
              <w:t>Broad, Primary</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Broad, Secondary</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Narrow, Primary</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Narrow, Secondary</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Emergency only</w:t>
            </w:r>
          </w:p>
        </w:tc>
        <w:tc>
          <w:tcPr>
            <w:tcW w:type="dxa" w:w="1234"/>
          </w:tcPr>
          <w:p>
            <w:r>
              <w:rPr>
                <w:sz w:val="16"/>
              </w:rPr>
              <w:t>Broad, Primary</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Broad, Secondary</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Narrow, Primary</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Narrow, Secondary</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Bootstrap Validation (STROBE Item 18)</w:t>
      </w:r>
    </w:p>
    <w:p>
      <w:r>
        <w:t>Results of the stratified bootstrap validation for the full cohort are presented in Table 6 and Fig. 8.</w:t>
      </w:r>
    </w:p>
    <w:p>
      <w:r>
        <w:t>For the narrow-definition primary outcome in the full cohort, the BCa 95% CI was [1.23–7.01], closely matching the Wald 95% CI [1.38–7.36]. The bootstrap CI also excluded 1, confirming that the significant twin effect (aOR 3.18) was robust (convergence rate 100.0%).</w:t>
      </w:r>
    </w:p>
    <w:p>
      <w:r>
        <w:t>In the low-risk subgroup, event counts for the narrow definition were extremely small (primary: 8; secondary: 4), resulting in unstable bootstrap CIs. This reflects the inherent sample size constraint and warrants cautious interpretation of subgroup results.</w:t>
      </w:r>
    </w:p>
    <w:p>
      <w:r>
        <w:rPr>
          <w:b/>
        </w:rPr>
        <w:t>Table 6. Stratified Bootstrap Validation (10,000 Resamples)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Cohort</w:t>
            </w:r>
          </w:p>
        </w:tc>
        <w:tc>
          <w:tcPr>
            <w:tcW w:type="dxa" w:w="1440"/>
          </w:tcPr>
          <w:p>
            <w:r>
              <w:rPr>
                <w:b/>
                <w:sz w:val="16"/>
              </w:rPr>
              <w:t>Outcome</w:t>
            </w:r>
          </w:p>
        </w:tc>
        <w:tc>
          <w:tcPr>
            <w:tcW w:type="dxa" w:w="1440"/>
          </w:tcPr>
          <w:p>
            <w:r>
              <w:rPr>
                <w:b/>
                <w:sz w:val="16"/>
              </w:rPr>
              <w:t>aOR</w:t>
            </w:r>
          </w:p>
        </w:tc>
        <w:tc>
          <w:tcPr>
            <w:tcW w:type="dxa" w:w="1440"/>
          </w:tcPr>
          <w:p>
            <w:r>
              <w:rPr>
                <w:b/>
                <w:sz w:val="16"/>
              </w:rPr>
              <w:t>Wald 95% CI</w:t>
            </w:r>
          </w:p>
        </w:tc>
        <w:tc>
          <w:tcPr>
            <w:tcW w:type="dxa" w:w="1440"/>
          </w:tcPr>
          <w:p>
            <w:r>
              <w:rPr>
                <w:b/>
                <w:sz w:val="16"/>
              </w:rPr>
              <w:t>BCa 95% CI</w:t>
            </w:r>
          </w:p>
        </w:tc>
        <w:tc>
          <w:tcPr>
            <w:tcW w:type="dxa" w:w="1440"/>
          </w:tcPr>
          <w:p>
            <w:r>
              <w:rPr>
                <w:b/>
                <w:sz w:val="16"/>
              </w:rPr>
              <w:t>Convergence</w:t>
            </w:r>
          </w:p>
        </w:tc>
      </w:tr>
      <w:tr>
        <w:tc>
          <w:tcPr>
            <w:tcW w:type="dxa" w:w="1440"/>
          </w:tcPr>
          <w:p>
            <w:r>
              <w:rPr>
                <w:sz w:val="16"/>
              </w:rPr>
              <w:t>Full cohort</w:t>
            </w:r>
          </w:p>
        </w:tc>
        <w:tc>
          <w:tcPr>
            <w:tcW w:type="dxa" w:w="1440"/>
          </w:tcPr>
          <w:p>
            <w:r>
              <w:rPr>
                <w:sz w:val="16"/>
              </w:rPr>
              <w:t>Broad, Primary</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Narrow, Secondary</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Low-risk</w:t>
            </w:r>
          </w:p>
        </w:tc>
        <w:tc>
          <w:tcPr>
            <w:tcW w:type="dxa" w:w="1440"/>
          </w:tcPr>
          <w:p>
            <w:r>
              <w:rPr>
                <w:sz w:val="16"/>
              </w:rPr>
              <w:t>Broad, Primary</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Narrow, Secondary</w:t>
            </w:r>
          </w:p>
        </w:tc>
        <w:tc>
          <w:tcPr>
            <w:tcW w:type="dxa" w:w="1440"/>
          </w:tcPr>
          <w:p>
            <w:r>
              <w:rPr>
                <w:sz w:val="16"/>
              </w:rPr>
              <w:t>14.14</w:t>
            </w:r>
          </w:p>
        </w:tc>
        <w:tc>
          <w:tcPr>
            <w:tcW w:type="dxa" w:w="1440"/>
          </w:tcPr>
          <w:p>
            <w:r>
              <w:rPr>
                <w:sz w:val="16"/>
              </w:rPr>
              <w:t>0.72–277.39</w:t>
            </w:r>
          </w:p>
        </w:tc>
        <w:tc>
          <w:tcPr>
            <w:tcW w:type="dxa" w:w="1440"/>
          </w:tcPr>
          <w:p>
            <w:r>
              <w:rPr>
                <w:sz w:val="16"/>
              </w:rPr>
              <w:t>Unstable</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 vs Bootstrap Confidence Interval Comparison</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exclusion sensitivity analyses, emergency subgroup stratification, and 10,000-replicate stratified bootstrap validation.</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Antiemetics may have been administered for indications other than IONV (e.g., opioid-induced pruritus prophylaxis). However, the narrow definition restricted to 5-HT3 antagonists minimized this confounding effect.</w:t>
      </w:r>
    </w:p>
    <w:p>
      <w:r>
        <w:t>Second, the number of events for the narrow definition was small (primary analysis: 33; subgroup analysis: 8), resulting in wide confidence intervals. Bootstrap validation confirmed the robustness of the full-cohort aOR 3.18 but the subgroup bootstrap CIs (8 events) were unstable. In particular, the subgroup analysis involved a substantial reduction in sample size (3,188 → 663), limiting external validity.</w:t>
      </w:r>
    </w:p>
    <w:p>
      <w:r>
        <w:t>Third, this was a single-center study, and multicenter studies are needed to confirm generalizability. The inability to assess the severity of IONV is also a limitation.</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r>
        <w:t>The emergency sensitivity analysis revealed that the twin effect was confined to elective cases, where the narrow-definition aOR increased substantially to 8.99 and the secondary outcome also reached significance. In contrast, among emergency cases the twin effect was completely absent. A significant emergency × twin interaction for the broad primary outcome (P = 0.023) further supports emergency delivery status as an effect modifier.</w:t>
      </w:r>
    </w:p>
    <w:p>
      <w:r>
        <w:t>The stratified bootstrap validation confirmed that the BCa confidence interval for the full-cohort narrow-definition primary outcome excluded 1, corroborating the Wald-based inference. This demonstrates that despite the approximately 8:1 imbalance in group sizes, the logistic regression estimates are stable and the key finding is robust.</w:t>
      </w:r>
    </w:p>
    <w:p>
      <w:pPr>
        <w:pStyle w:val="Heading2"/>
      </w:pPr>
      <w:r>
        <w:rPr>
          <w:color w:val="000000"/>
        </w:rPr>
        <w:t>Generalizability (STROBE Item 22)</w:t>
      </w:r>
    </w:p>
    <w:p>
      <w:r>
        <w:t>This study was based on 10 years of data from a regional referral hospital, reflecting typical cesarean delivery management in Japan. However, antiemetic prescribing patterns may vary across institutions and eras, and caution is warranted in extrapolating these results.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cesarean delivery, prior cesarean delivery,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