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International Journal for Quality in Health Care</w:t>
      </w:r>
    </w:p>
    <w:p>
      <w:r>
        <w:rPr>
          <w:rFonts w:ascii="Times New Roman" w:hAnsi="Times New Roman"/>
          <w:b w:val="0"/>
          <w:i w:val="0"/>
          <w:sz w:val="24"/>
        </w:rPr>
        <w:t>Oxford University Press</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structural determinant or claims-audit artefact?" for possible publication in the International Journal for Quality in Health Care as an Original Research Article.</w:t>
      </w:r>
    </w:p>
    <w:p>
      <w:r>
        <w:rPr>
          <w:rFonts w:ascii="Times New Roman" w:hAnsi="Times New Roman"/>
          <w:b w:val="0"/>
          <w:i w:val="0"/>
          <w:sz w:val="24"/>
        </w:rPr>
        <w:t>We believe that our manuscript is well aligned with IJQHC's international focus on quality, safety and equity of health care, for three reasons. First, we use Japan's universal insurance system as a natural experiment to address a question that has been raised - but rarely settled - in most other health systems: when claims-based variation is observed, is it a signal about clinical practice or an artefact of differential auditing? Second, our within-prefecture decomposition and multilevel sensitivity framework offer a transferable analytic approach that any system with a uniform fee schedule and regional auditing could adopt. Third, the variation we identify in combined general-epidural anaesthesia is clinically meaningful in the context of emerging evidence on oncological outcomes and speaks to a modifiable equity issue under universal coverage - directly relevant to IJQHC's international readership in quality improvement and policy.</w:t>
      </w:r>
    </w:p>
    <w:p>
      <w:r>
        <w:rPr>
          <w:rFonts w:ascii="Times New Roman" w:hAnsi="Times New Roman"/>
          <w:b w:val="0"/>
          <w:i w:val="0"/>
          <w:sz w:val="24"/>
        </w:rPr>
        <w:t>Key findings: We studied all 335 secondary medical areas of Japan. Coefficients of variation across areas ranged from 53% (general anaesthesia) to 87% (epidural anaesthesia). Multilevel modelling showed that only 5.8% of general anaesthesia variance lay between prefectures - where audit policy differs - while 94% occurred within prefectures where audit policy is uniform. University hospital presence alone explained 35.8% of total variance and was positive in all 47 of 47 prefectures, with a large effect size (Cohen's d 1.88). Three pre-specified sensitivity analyses converged in rejecting differential auditing as a plausible explanation, and empirical Bayes shrinkage confirmed that the findings are robust to low-volume instability. We conclude that the observed variation is predominantly structural and institutional, not administrative, and identify the variation in combined general-epidural anaesthesia as a priority equity concern.</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IJQHC.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The contribution of artificial intelligence tooling (use of Devin / Cognition AI as a coding assistant for data processing, modelling and visualisation, with all scientific interpretation performed by the human authors) is declared in the Contributorship section of the End-Matter file.</w:t>
      </w:r>
    </w:p>
    <w:p>
      <w:r>
        <w:rPr>
          <w:rFonts w:ascii="Times New Roman" w:hAnsi="Times New Roman"/>
          <w:b w:val="0"/>
          <w:i w:val="0"/>
          <w:sz w:val="24"/>
        </w:rPr>
        <w:t>The manuscript is within the IJQHC length requirements for an Original Research Article (main text approximately 3000 words; structured abstract within 400 words; 3 tables, 2 figures; 30 references). We have uploaded the title page, anonymised main manuscript, End-Matter (Contributorship, Ethics, Funding, Conflict of interests, Acknowledgments, Data Availability) and STROBE checklist as separate files in accordance with the journal's submission requirements.</w:t>
      </w:r>
    </w:p>
    <w:p>
      <w:r>
        <w:rPr>
          <w:rFonts w:ascii="Times New Roman" w:hAnsi="Times New Roman"/>
          <w:b w:val="0"/>
          <w:i w:val="0"/>
          <w:sz w:val="24"/>
        </w:rPr>
        <w:t>We believe our work will be of substantive interest to IJQHC's international audience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