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24"/>
        </w:rPr>
        <w:t>Table 1.  Variation in anaesthesia practice across 335 secondary medical areas of Japan, fiscal year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Procedure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Areas reporting, n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Mean SCR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SD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Median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IQR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Range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Coefficient of variation, %</w:t>
            </w:r>
          </w:p>
        </w:tc>
      </w:tr>
      <w:tr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General anaesthesia (closed-circuit)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335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74.4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39.3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66.7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44.1–97.1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5.9–244.2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52.9</w:t>
            </w:r>
          </w:p>
        </w:tc>
      </w:tr>
      <w:tr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Spinal anaesthesia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335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61.8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38.6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54.5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33.6–83.8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0–240.5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62.5</w:t>
            </w:r>
          </w:p>
        </w:tc>
      </w:tr>
      <w:tr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Epidural anaesthesia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331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34.8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30.3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27.4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14.4–46.1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0–266.2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86.9</w:t>
            </w:r>
          </w:p>
        </w:tc>
      </w:tr>
      <w:tr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L009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Anaesthesia management fee I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335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116.9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47.5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111.0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82.4–146.2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11.8–287.9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40.6</w:t>
            </w:r>
          </w:p>
        </w:tc>
      </w:tr>
      <w:tr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L100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Nerve block, inpatient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81.3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55.6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70.5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37.0–114.5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0–296.3</w:t>
            </w:r>
          </w:p>
        </w:tc>
        <w:tc>
          <w:tcPr>
            <w:tcW w:type="dxa" w:w="1619"/>
          </w:tcPr>
          <w:p>
            <w:r/>
            <w:r>
              <w:rPr>
                <w:rFonts w:ascii="Times New Roman" w:hAnsi="Times New Roman"/>
                <w:sz w:val="22"/>
              </w:rPr>
              <w:t>68.4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SCR, standardised claim ratio (national average = 100). SD, standard deviation; IQR, interquartile range. The coefficient of variation is the SD divided by the mean, expressed as a percentage.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2.  Between-prefecture vs within-prefecture variance components, multilevel null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Procedure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Prefecture variance (level 2)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Residual variance (level 1)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Intraclass correlation coefficient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Within-prefecture variance, %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General anaesthesia (L008)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89.8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1455.8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0.058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94.2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Spinal anaesthesia (L004)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116.5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1366.8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0.079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92.1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Epidural anaesthesia (L002)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73.2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845.3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0.080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92.0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Between-prefecture variance was estimated from a mixed-effects model with prefecture as a random intercept and no fixed effects (null model) fitted by restricted maximum likelihood.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3.  University hospital presence and the standardised claim ratio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Procedure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Mean SCR, university areas (n=64)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Mean SCR, non-university areas (n=271)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Difference (95% CI)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Cohen's d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Mixed-effects coefficient (95% CI)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Marginal R²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General anaesthesia (L008)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132.1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61.6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+70.5 (63.0 to 78.0)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1.88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+64.1 (54.8 to 73.4)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0.358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Spinal anaesthesia (L004)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72.2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59.4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+12.8 (4.5 to 21.1)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0.33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+11.7 (2.6 to 20.7)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0.018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Epidural anaesthesia (L002)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65.5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27.4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+38.2 (28.2 to 48.1)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1.22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+34.5 (25.5 to 43.4)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0.148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Mixed-effects coefficient is the fixed effect of university hospital presence in a multilevel model with prefecture as a random intercept. Marginal R² is the proportion of total variance explained by the fixed effect relative to the null model. CI, confidence interval.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