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 environmental health</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Centers for Disease Control and Prevention. n.d. CDC WONDER Underlying Cause of Death database. https://wonder.cdc.gov/ [accessed 22 August 2026].</w:t>
      </w:r>
    </w:p>
    <w:p>
      <w:pPr>
        <w:spacing w:after="80"/>
      </w:pPr>
      <w:r>
        <w:t>13. Daanen HAM, van de Vliert E, Huang X. 2003. Driving performance in cold, warm, and thermoneutral environments. Appl Ergon 34(6):597-602, PMID: 14559420, 10.1016/S0003-6870(03)00055-3.</w:t>
      </w:r>
    </w:p>
    <w:p>
      <w:pPr>
        <w:spacing w:after="80"/>
      </w:pPr>
      <w:r>
        <w:t>14.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