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Highlights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Litigation risk is unrelated to physician or hospital decline across 12 specialties.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Count-based links vanish once size confounding and interpolation are removed.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Equivalence testing supports a null effect within policy-relevant margins.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No-fault obstetric compensation may sustain high-risk specialty supply.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Policy should target structural incentives, not litigation-avoidance messaging.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