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Tatsuki Onishi</w:t>
      </w:r>
    </w:p>
    <w:p/>
    <w:p>
      <w:r>
        <w:rPr>
          <w:b/>
        </w:rPr>
        <w:t xml:space="preserve">Corresponding author: </w:t>
      </w:r>
      <w:r>
        <w:t>Tatsuki Onishi,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5 (+ 1 supplementary)</w:t>
      </w:r>
    </w:p>
    <w:p>
      <w:r>
        <w:rPr>
          <w:b/>
        </w:rPr>
        <w:t xml:space="preserve">Number of tables: </w:t>
      </w:r>
      <w:r>
        <w:t>3</w:t>
      </w:r>
    </w:p>
    <w:p>
      <w:r>
        <w:br w:type="page"/>
      </w:r>
    </w:p>
    <w:p>
      <w:pPr>
        <w:pStyle w:val="Heading1"/>
      </w:pPr>
      <w:r>
        <w:rPr>
          <w:rFonts w:ascii="Times New Roman" w:hAnsi="Times New Roman"/>
          <w:color w:val="000000"/>
        </w:rPr>
        <w:t>Abstract</w:t>
      </w:r>
    </w:p>
    <w:p>
      <w:r>
        <w:t>Cross-cultural studies characterize Japanese people as stoic toward pain, yet whether this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Contrary to popular perception, Tohoku—traditionally considered Japan’s most stoic region—ranked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(P = 0.323), with diabetes drug prescribing as the strongest confounder (r = 0.87). Nearly twofold within-country variation challenges the assumption that “Japanese” constitutes a uniform category for pain behavior. Culturally stereotyped assumptions risk narrowing treatment options; individualized pain assessment should be the standard of perioperative care.</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 [5,19]. Since Zborowski’s observation that ethnic groups differ in pain behavior [23], a large literature has established that cultural norms influence pain reporting, treatment-seeking, and analgesic use [15]. Japan is consistently characterized as stoic: Hobara found that Japanese respondents rated pain behaviors as less appropriate than Euro-Americans [10], and Feng et al. showed that Japanese participants were far less willing to trade time to avoid pain on the EQ-5D [8]. This culturally mediated endurance, encapsulated by the concept of gaman (我慢), carries clinical risk when clinicians assume stoic presentation indicates lower analgesic need.</w:t>
      </w:r>
    </w:p>
    <w:p>
      <w:r>
        <w:t>Most studies compare pain behavior between nations. However, substantial heterogeneity exists within countries: Cohen and Nisbett showed that the “culture of honor” in the US South produces measurably different behavioral responses from the North [7]. In Japan, regional identities are strong—the Tohoku region is traditionally perceived as stoic [12], and even the word for throbbing pain (uzuku) shows regional usage patterns [20]. A Pfizer Japan survey found the proportion of chronic pain patients “enduring pain” ranged from 48.7% to 81.6% across prefectures [17]. Yet whether such differences translate into measurable healthcare utilization differences remains unknown.</w:t>
      </w:r>
    </w:p>
    <w:p>
      <w:r>
        <w:t>Japan’s universal health insurance, standardized drug pricing, and the NDB—capturing virtually all reimbursed utilization [14]—provide an ideal setting. Recent work has documented up to 1.6-fold regional variation in chronic pain prevalence [22] and 4-fold variation in cancer opioid prescribing [13]. The perioperative setting offers a further advantage: because all patients are hospitalized, healthcare access—a major confounder in outpatient studies—is neutralized.</w:t>
      </w:r>
    </w:p>
    <w:p>
      <w:r>
        <w:t>This exploratory study had three objectives: (1) map regional variation in acute perioperative analgesic prescribing across 47 prefectures; (2) examine outpatient neuropathic pain prescribing as a chronic postsurgical pain (CPSP) proxy after confounder adjustment; and (3) integrate acute and chronic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It is reported following STROBE [21] and the RECORD extension [3].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 [14]. The NDB captures claims from all insurers within Japan’s universal coverage system, encompassing approximately 125 million insured individuals. Aggregate data are published at the prefecture level with suppression of cells &lt;10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analgesics/NSAIDs/acetaminophen), Class 811 (opium alkaloid narcotics), and Class 821 (synthetic narcotics).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quantity/total inpatient surgical procedure count.</w:t>
      </w:r>
    </w:p>
    <w:p>
      <w:pPr>
        <w:pStyle w:val="Heading2"/>
      </w:pPr>
      <w:r>
        <w:rPr>
          <w:rFonts w:ascii="Times New Roman" w:hAnsi="Times New Roman"/>
          <w:color w:val="000000"/>
        </w:rPr>
        <w:t>Confounder disease proxies</w:t>
      </w:r>
    </w:p>
    <w:p>
      <w:r>
        <w:t>Four confounder disease proxies were extracted from outpatient data:</w:t>
      </w:r>
    </w:p>
    <w:p>
      <w:pPr>
        <w:pStyle w:val="ListBullet"/>
      </w:pPr>
      <w:r>
        <w:t>Oral hypoglycemic agents (261 formulations): proxy for diabetic neuropathy</w:t>
      </w:r>
    </w:p>
    <w:p>
      <w:pPr>
        <w:pStyle w:val="ListBullet"/>
      </w:pPr>
      <w:r>
        <w:t>Herpes zoster antivirals (47 formulations): proxy for postherpetic neuralgia</w:t>
      </w:r>
    </w:p>
    <w:p>
      <w:pPr>
        <w:pStyle w:val="ListBullet"/>
      </w:pPr>
      <w:r>
        <w:t>Antidepressants excluding duloxetine (128 formulations): proxy for depression</w:t>
      </w:r>
    </w:p>
    <w:p>
      <w:pPr>
        <w:pStyle w:val="ListBullet"/>
      </w:pPr>
      <w:r>
        <w:t>Anxiolytics (112 formulations): proxy for anxiety disorders</w:t>
      </w:r>
    </w:p>
    <w:p>
      <w:r>
        <w:t>Each proxy was expressed per surgery. Outpatient nerve block procedure counts (73 codes) served as an independent CPSP proxy.</w:t>
      </w:r>
    </w:p>
    <w:p>
      <w:pPr>
        <w:pStyle w:val="Heading2"/>
      </w:pPr>
      <w:r>
        <w:rPr>
          <w:rFonts w:ascii="Times New Roman" w:hAnsi="Times New Roman"/>
          <w:color w:val="000000"/>
        </w:rPr>
        <w:t>Statistical analysis</w:t>
      </w:r>
    </w:p>
    <w:p>
      <w:r>
        <w:t>Regional differences in Phase 1 were assessed using the Kruskal–Wallis test, followed by post hoc Mann–Whitney U tests with Bonferroni correction. For Phase 2, five regression models were fitted:</w:t>
      </w:r>
    </w:p>
    <w:p>
      <w:pPr>
        <w:pStyle w:val="ListBullet"/>
      </w:pPr>
      <w:r>
        <w:t>Model 1: Unadjusted regional comparison</w:t>
      </w:r>
    </w:p>
    <w:p>
      <w:pPr>
        <w:pStyle w:val="ListBullet"/>
      </w:pPr>
      <w:r>
        <w:t>Model 2: Neuropathic pain ~ diabetes + herpes + antidepressants + anxiolytics + region</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 &lt; 0.001 across nine regions).</w:t>
      </w:r>
    </w:p>
    <w:p>
      <w:r>
        <w:t>Substantial regional clustering was observed. Tokai and Kinki (western Japan) had the lowest indices, while Kyushu-Okinawa and Hokkaido had the highest (Table 1). Tohoku, culturally perceived as Japan’s most stoic region, ranked seventh of nine with a mean index of 39.97 (SD 3.53), significantly above the non-Tohoku mean of 35.17 (Mann–Whitney U = 190, P = 0.031; Cohen’s d = 0.87). All six Tohoku prefectures ranked in the upper half nationally. This pattern was consistent across drug classes: NSAIDs (P = 0.044), opioid alkaloids (P = 0.003), and synthetic opioids (P = 0.001).</w:t>
      </w:r>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nationally (Fig. 1).</w:t>
      </w:r>
    </w:p>
    <w:p>
      <w:pPr>
        <w:pStyle w:val="Heading2"/>
      </w:pPr>
      <w:r>
        <w:rPr>
          <w:rFonts w:ascii="Times New Roman" w:hAnsi="Times New Roman"/>
          <w:color w:val="000000"/>
        </w:rPr>
        <w:t>Confounder analysis</w:t>
      </w:r>
    </w:p>
    <w:p>
      <w:r>
        <w:t>Neuropathic pain prescribing showed strong correlations with confounder proxies. Diabetes drug prescribing was the strongest (r = 0.87, P &lt; 0.001), followed by anxiolytics (r = 0.75), antidepressants (r = 0.46), and herpes antivirals (r = 0.19). These collectively explained 80.4% of variance (R² = 0.814 in Model 2; Fig. 2).</w:t>
      </w:r>
    </w:p>
    <w:p>
      <w:pPr>
        <w:pStyle w:val="Heading2"/>
      </w:pPr>
      <w:r>
        <w:rPr>
          <w:rFonts w:ascii="Times New Roman" w:hAnsi="Times New Roman"/>
          <w:color w:val="000000"/>
        </w:rPr>
        <w:t>Confounder-adjusted analysis</w:t>
      </w:r>
    </w:p>
    <w:p>
      <w:r>
        <w:t>After adjustment for all four confounders, the Tohoku effect was attenuated and became nonsignificant in Model 2 (β = 32.6, P = 0.150). This was consistent across specifications: Model 3 (β = 15.7, P = 0.229), Model 4 (P = 0.863), and Model 5 (β = 31.5, P = 0.149; Table 2).</w:t>
      </w:r>
    </w:p>
    <w:p>
      <w:r>
        <w:t>The adjusted CPSP index showed a dramatically different pattern from the unadjusted data (Fig. 3). The Tohoku mean shifted from markedly positive to a modest, nonsignificant excess (+12.4 vs -1.8; t = 0.999, P = 0.323; d = 0.44). Chugoku emerged as having the highest adjusted index, while Tokai had the lowest (Fig. 4).</w:t>
      </w:r>
    </w:p>
    <w:p>
      <w:pPr>
        <w:pStyle w:val="Heading2"/>
      </w:pPr>
      <w:r>
        <w:rPr>
          <w:rFonts w:ascii="Times New Roman" w:hAnsi="Times New Roman"/>
          <w:color w:val="000000"/>
        </w:rPr>
        <w:t>Phase 1–Phase 2 integration</w:t>
      </w:r>
    </w:p>
    <w:p>
      <w:r>
        <w:t>Acute perioperative prescribing correlated positively with unadjusted neuropathic pain prescribing (r = 0.38, P = 0.008; Fig. 5a). After confounder adjustment, this was attenuated (r = 0.29, P = 0.052; Fig. 5b). In Model 5, acute pain index remained a significant predictor (β = 1.90, P = 0.044), while the Tohoku effect remained nonsignificant (β = 31.5, P = 0.149). A comprehensive Z-score heatmap confirmed the heterogeneous multi-variable pattern (Supplementary Fig. 1). After adjustment, the Tohoku effect was attenuated by 62% and became nonsignificant (Table 3).</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using NDB Open Data. Three principal findings emerged.</w:t>
      </w:r>
    </w:p>
    <w:p>
      <w:pPr>
        <w:pStyle w:val="Heading2"/>
      </w:pPr>
      <w:r>
        <w:rPr>
          <w:rFonts w:ascii="Times New Roman" w:hAnsi="Times New Roman"/>
          <w:color w:val="000000"/>
        </w:rPr>
        <w:t>Regional variation within a stoic culture</w:t>
      </w:r>
    </w:p>
    <w:p>
      <w:r>
        <w:t>Despite Japan’s well-documented cultural stoicism [8,10], we found a 1.97-fold variation in acute perioperative prescribing and significant differences across regional blocks. This parallels Cohen and Nisbett’s finding that within-country cultural norms produce measurably different behavioral outcomes [7]. Japan’s pain culture is not monolithic; regional demographics, healthcare infrastructure, and local clinical practices generate heterogeneity beneath a nationally shared norm.</w:t>
      </w:r>
    </w:p>
    <w:p>
      <w:pPr>
        <w:pStyle w:val="Heading2"/>
      </w:pPr>
      <w:r>
        <w:rPr>
          <w:rFonts w:ascii="Times New Roman" w:hAnsi="Times New Roman"/>
          <w:color w:val="000000"/>
        </w:rPr>
        <w:t>Clinical implications of monolithic stereotypes</w:t>
      </w:r>
    </w:p>
    <w:p>
      <w:r>
        <w:t>The within-Japan variation has direct clinical relevance. Anderson et al. showed that ethnic minorities in the United States consistently receive less adequate pain management [1]. Campbell and Edwards identified that clinician expectations about cultural pain behavior lead to systematic under- or over-treatment [6]. Rogger et al. emphasized that cultural framing affects both reporting and management [19]. If a 1.97-fold difference exists within Japan, the international label “Japanese patient = stoic” is an oversimplification that risks inadequate analgesia for Japanese patients treated abroad.</w:t>
      </w:r>
    </w:p>
    <w:p>
      <w:r>
        <w:t>The homogeneity myth reinforces this risk. Befu’s analysis of nihonjinron ideology [2] and Burgess’s critique of the “illusion” of homogeneous Japan [4] reveal that internal diversity is systematically underappreciated. Our data provide empirical support: there is no monolithic “Japanese patient”—there are 47 prefectures with distinct prescribing patterns. This principle extends to every cultural label applied to any patient population [18]; pain is an individual experience that defies categorical treatment.</w:t>
      </w:r>
    </w:p>
    <w:p>
      <w:pPr>
        <w:pStyle w:val="Heading2"/>
      </w:pPr>
      <w:r>
        <w:rPr>
          <w:rFonts w:ascii="Times New Roman" w:hAnsi="Times New Roman"/>
          <w:color w:val="000000"/>
        </w:rPr>
        <w:t>Confounders explain Tohoku’s apparent excess</w:t>
      </w:r>
    </w:p>
    <w:p>
      <w:r>
        <w:t>The dramatic regional variation in neuropathic pain prescribing (unadjusted d = 2.81) was largely explained by confounding diseases. Diabetes prescribing alone correlated at r = 0.87 with neuropathic pain prescribing, reflecting high prevalence of diabetic neuropathy requiring gabapentinoids. This has important implications for ecological pain research: studies using neuropathic pain drug prescribing as a CPSP proxy must account for confounding diseases. The within-database adjustment demonstrated here provides a replicable framework.</w:t>
      </w:r>
    </w:p>
    <w:p>
      <w:pPr>
        <w:pStyle w:val="Heading2"/>
      </w:pPr>
      <w:r>
        <w:rPr>
          <w:rFonts w:ascii="Times New Roman" w:hAnsi="Times New Roman"/>
          <w:color w:val="000000"/>
        </w:rPr>
        <w:t>A population-level acute–chronic pain continuum</w:t>
      </w:r>
    </w:p>
    <w:p>
      <w:r>
        <w:t>The positive correlation between Phase 1 and adjusted Phase 2 indices (r = 0.29, P = 0.052) suggests a modest link between acute management intensity and chronic pain-related prescribing, consistent with individual-level evidence that acute pain intensity is a risk factor for CPSP [11]. Objective nociception monitoring may help standardize perioperative assessment regardless of cultural background [16].</w:t>
      </w:r>
    </w:p>
    <w:p>
      <w:pPr>
        <w:pStyle w:val="Heading2"/>
      </w:pPr>
      <w:r>
        <w:rPr>
          <w:rFonts w:ascii="Times New Roman" w:hAnsi="Times New Roman"/>
          <w:color w:val="000000"/>
        </w:rPr>
        <w:t>Strengths and limitations</w:t>
      </w:r>
    </w:p>
    <w:p>
      <w:r>
        <w:t>Strengths include population-complete data covering all insurance-reimbursed healthcare in Japan, the integration of acute and chronic pain proxies, transparent confounder adjustment, and the perioperative focus that neutralizes access-to-care heterogeneity. Limitations include the ecological design (prefecture-level, not individual-level analysis; ecological fallacy cannot be excluded), absence of diagnosis codes in NDB Open Data, inability to capture fibromyalgia separately, cross-sectional design precluding temporal sequence inference, and unmeasured confounders such as age distribution, surgical case mix, and prescribing culture.</w:t>
      </w:r>
    </w:p>
    <w:p>
      <w:pPr>
        <w:pStyle w:val="Heading2"/>
      </w:pPr>
      <w:r>
        <w:rPr>
          <w:rFonts w:ascii="Times New Roman" w:hAnsi="Times New Roman"/>
          <w:color w:val="000000"/>
        </w:rPr>
        <w:t>Conclusion</w:t>
      </w:r>
    </w:p>
    <w:p>
      <w:r>
        <w:t>Despite Japan’s norm of pain endurance, perioperative and chronic pain-related prescribing varies up to 1.97-fold across prefectures. Confounding diseases substantially modify the apparent regional pattern. These findings demonstrate that Japan’s pain culture is not monolithic. Treating “Japanese” as a uniform category for pain behavior risks inadequate analgesia—and the same principle applies to every cultural label applied to any patient population. Individualized pain assessment should replace culturally stereotyped assumptions to ensure equitable perioperative care.</w:t>
      </w:r>
    </w:p>
    <w:p/>
    <w:p>
      <w:pPr>
        <w:pStyle w:val="Heading1"/>
      </w:pPr>
      <w:r>
        <w:rPr>
          <w:rFonts w:ascii="Times New Roman" w:hAnsi="Times New Roman"/>
          <w:color w:val="000000"/>
        </w:rPr>
        <w:t>Acknowledgments</w:t>
      </w:r>
    </w:p>
    <w:p>
      <w:r>
        <w:t>The authors thank the Ministry of Health, Labour and Welfare for making the NDB Open Data publicly available. Parts of data processing and manuscript preparation were assisted by generative AI (Claude, Anthropic). The authors take full responsibility for the accuracy and content of the manuscript.</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[1] Anderson KO, Green CR, Payne R. Racial and ethnic disparities in pain: causes and consequences of unequal care. J Pain 2009;10:1187–1204. doi:10.1016/j.jpain.2009.03.015</w:t>
      </w:r>
    </w:p>
    <w:p>
      <w:r>
        <w:t>[2] Befu H. Hegemony of Homogeneity: An Anthropological Analysis of Nihonjinron. Melbourne: Trans Pacific Press, 2001.</w:t>
      </w:r>
    </w:p>
    <w:p>
      <w:r>
        <w:t>[3] Benchimol EI, Smeeth L, Guttmann A, Harron K, Moher D, Petersen I, Sorensen HT, von Elm E, Langan SM. The REporting of studies Conducted using Observational Routinely-collected health Data (RECORD) statement. PLoS Med 2015;12:e1001885. doi:10.1371/journal.pmed.1001885</w:t>
      </w:r>
    </w:p>
    <w:p>
      <w:r>
        <w:t>[4] Burgess C. The “illusion” of homogeneous Japan and national character: discourse as a tool to transcend the “myth” vs. “reality” binary. Asia Pac J 2010;8(9):1–22.</w:t>
      </w:r>
    </w:p>
    <w:p>
      <w:r>
        <w:t>[5] Callister LC. Cultural influences on pain perceptions and behaviors. Home Health Care Manag Pract 2003;15:207–211. doi:10.1177/1084822302250687</w:t>
      </w:r>
    </w:p>
    <w:p>
      <w:r>
        <w:t>[6] Campbell CM, Edwards RR. Ethnic differences in pain and pain management. Pain Manag 2012;2:219–230. doi:10.2217/pmt.12.7</w:t>
      </w:r>
    </w:p>
    <w:p>
      <w:r>
        <w:t>[7] Cohen D, Nisbett RE, Bowdle BF, Schwarz N. Insult, aggression, and the southern culture of honor: an “experimental ethnography.” J Pers Soc Psychol 1996;70:945–960. doi:10.1037/0022-3514.70.5.945</w:t>
      </w:r>
    </w:p>
    <w:p>
      <w:r>
        <w:t>[8] Feng Y, Herdman M, van Nooten F, Cleeland C, Parkin D, Ikeda S, Igarashi A, Devlin NJ. An exploration of differences between Japan and two European countries in the self-reporting and valuation of pain and discomfort on the EQ-5D. Qual Life Res 2017;26:2067–2078. doi:10.1007/s11136-017-1541-4</w:t>
      </w:r>
    </w:p>
    <w:p>
      <w:r>
        <w:t>[9] Hayashi K, Ikemoto T, Shiro Y, Arai YC, Marcuzzi A, Costa D, Wrigley PJ. A systematic review of the variation in Pain Catastrophizing Scale reference scores based on language version and country in patients with chronic primary (non-specific) pain. Pain Ther 2022;11:751–780. doi:10.1007/s40122-022-00402-3</w:t>
      </w:r>
    </w:p>
    <w:p>
      <w:r>
        <w:t>[10] Hobara M. Beliefs about appropriate pain behavior: cross-cultural and sex differences between Japanese and Euro-Americans. Eur J Pain 2005;9:389–393. doi:10.1016/j.ejpain.2004.09.006</w:t>
      </w:r>
    </w:p>
    <w:p>
      <w:r>
        <w:t>[11] Kehlet H, Jensen TS, Woolf CJ. Persistent postsurgical pain: risk factors and prevention. Lancet 2006;367:1618–1625. doi:10.1016/S0140-6736(06)68700-X</w:t>
      </w:r>
    </w:p>
    <w:p>
      <w:r>
        <w:t>[12] Kumagai S. Media representations reproducing images of Tohoku: the Tohoku reconstruction corner in “Secret Kenmin SHOW.” Kotoba 2020;41:21–38. [in Japanese]</w:t>
      </w:r>
    </w:p>
    <w:p>
      <w:r>
        <w:t>[13] Matsuoka Y, Morishima T, Sato A, Ogawa T, Miyashiro I. Population-based claims study of regional and hospital function differences in opioid prescribing for cancer patients who died in hospital in Japan. Jpn J Clin Oncol 2025;55:hyaf149. doi:10.1093/jjco/hyaf149</w:t>
      </w:r>
    </w:p>
    <w:p>
      <w:r>
        <w:t>[14] Ministry of Health, Labour and Welfare. NDB Open Data, 10th edition. 2024. Available: https://www.mhlw.go.jp/stf/seisakunitsuite/bunya/0000177221_00016.html. Accessed January 15, 2025.</w:t>
      </w:r>
    </w:p>
    <w:p>
      <w:r>
        <w:t>[15] Okolo CA, Olorunsogo T, Babawarun O. Cultural variability in pain perception: a review of cross-cultural studies. Int J Sci Res Arch 2024;11:2550–2556. doi:10.30574/ijsra.2024.11.1.0263</w:t>
      </w:r>
    </w:p>
    <w:p>
      <w:r>
        <w:t>[16] Onishi T, Onishi Y. Normalized pulse volume as a superior predictor of respiration recovery and quantification of nociception anti-nociception balance compared to opioid effect site concentration: a prospective, observational study. F1000Research 2024;13:233. doi:10.12688/f1000research.146054.2</w:t>
      </w:r>
    </w:p>
    <w:p>
      <w:r>
        <w:t>[17] Pfizer Japan Inc. 47-prefecture survey on chronic pain. 2017. Available: https://www.pfizer.co.jp/pfizer/company/press/2017. Accessed February 1, 2025.</w:t>
      </w:r>
    </w:p>
    <w:p>
      <w:r>
        <w:t>[18]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 doi:10.1097/j.pain.0000000000001939</w:t>
      </w:r>
    </w:p>
    <w:p>
      <w:r>
        <w:t>[19] Rogger R, Bello C, Romero CS, Urman RD, Luedi MM, Filipovic MG. Cultural framing and the impact on acute pain and pain services. Curr Pain Headache Rep 2023;27:429–436. doi:10.1007/s11916-023-01130-1</w:t>
      </w:r>
    </w:p>
    <w:p>
      <w:r>
        <w:t>[20] Takeda K, Yarimizu K. Regional differences in the pain expression uzuku. NINJAL Research Papers 2016;10:85–107. [in Japanese]</w:t>
      </w:r>
    </w:p>
    <w:p>
      <w:r>
        <w:t>[21] von Elm E, Altman DG, Egger M, Pocock SJ, Gotzsche PC, Vandenbroucke JP. The Strengthening the Reporting of Observational Studies in Epidemiology (STROBE) statement: guidelines for reporting observational studies. Lancet 2007;370:1453–1457. doi:10.1016/S0140-6736(07)61602-X</w:t>
      </w:r>
    </w:p>
    <w:p>
      <w:r>
        <w:t>[22]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 doi:10.3389/fpubh.2024.1482177</w:t>
      </w:r>
    </w:p>
    <w:p>
      <w:r>
        <w:t>[23] Zborowski M. People in Pain. San Francisco: Jossey-Bass, 1969.</w:t>
      </w:r>
    </w:p>
    <w:p>
      <w:r>
        <w:br w:type="page"/>
      </w:r>
    </w:p>
    <w:p>
      <w:pPr>
        <w:pStyle w:val="Heading1"/>
      </w:pPr>
      <w:r>
        <w:rPr>
          <w:rFonts w:ascii="Times New Roman" w:hAnsi="Times New Roman"/>
          <w:color w:val="000000"/>
        </w:rPr>
        <w:t>Figure legends</w:t>
      </w:r>
    </w:p>
    <w:p>
      <w:r>
        <w:rPr>
          <w:b/>
        </w:rPr>
        <w:t xml:space="preserve">Fig. 1. </w:t>
      </w:r>
      <w:r>
        <w:t>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rPr>
          <w:b/>
        </w:rPr>
        <w:t xml:space="preserve">Fig. 2. </w:t>
      </w:r>
      <w:r>
        <w:t>Correlation between outpatient neuropathic pain drug prescribing and confounder disease proxies. Each dot represents one prefecture. Tohoku prefectures are marked with red borders. Diabetes drugs show the strongest correlation (r = 0.87).</w:t>
      </w:r>
    </w:p>
    <w:p>
      <w:r>
        <w:rPr>
          <w:b/>
        </w:rPr>
        <w:t xml:space="preserve">Fig. 3. </w:t>
      </w:r>
      <w:r>
        <w:t>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rPr>
          <w:b/>
        </w:rPr>
        <w:t xml:space="preserve">Fig. 4. </w:t>
      </w:r>
      <w:r>
        <w:t>Regional comparison of neuropathic pain prescribing: (a) unadjusted and (b) after confounder adjustment. Tohoku (red border) shifts from the highest region to mid-range after adjustment. Error bars represent standard deviation.</w:t>
      </w:r>
    </w:p>
    <w:p>
      <w:r>
        <w:rPr>
          <w:b/>
        </w:rPr>
        <w:t xml:space="preserve">Fig. 5. </w:t>
      </w:r>
      <w:r>
        <w:t>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rPr>
          <w:b/>
        </w:rPr>
        <w:t xml:space="preserve">Supplementary Fig. 1. </w:t>
      </w:r>
      <w:r>
        <w:t>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Tables</w:t>
      </w:r>
    </w:p>
    <w:p>
      <w:r>
        <w:rPr>
          <w:b/>
        </w:rPr>
        <w:t xml:space="preserve">Table 1. </w:t>
      </w:r>
      <w:r>
        <w:t>Phase 1: Inpatient analgesic-per-surgery index by regional block.</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Regional block</w:t>
            </w:r>
          </w:p>
        </w:tc>
        <w:tc>
          <w:tcPr>
            <w:tcW w:type="dxa" w:w="1701"/>
          </w:tcPr>
          <w:p>
            <w:r>
              <w:rPr>
                <w:b/>
              </w:rPr>
              <w:t>n</w:t>
            </w:r>
          </w:p>
        </w:tc>
        <w:tc>
          <w:tcPr>
            <w:tcW w:type="dxa" w:w="1701"/>
          </w:tcPr>
          <w:p>
            <w:r>
              <w:rPr>
                <w:b/>
              </w:rPr>
              <w:t>Mean (SD)</w:t>
            </w:r>
          </w:p>
        </w:tc>
        <w:tc>
          <w:tcPr>
            <w:tcW w:type="dxa" w:w="1701"/>
          </w:tcPr>
          <w:p>
            <w:r>
              <w:rPr>
                <w:b/>
              </w:rPr>
              <w:t>Range</w:t>
            </w:r>
          </w:p>
        </w:tc>
        <w:tc>
          <w:tcPr>
            <w:tcW w:type="dxa" w:w="1701"/>
          </w:tcPr>
          <w:p>
            <w:r>
              <w:rPr>
                <w:b/>
              </w:rP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
      <w:r>
        <w:rPr>
          <w:b/>
        </w:rPr>
        <w:t xml:space="preserve">Table 2. </w:t>
      </w:r>
      <w:r>
        <w:t>Regression models for neuropathic pain prescribing: effect of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effect</w:t>
            </w:r>
          </w:p>
        </w:tc>
        <w:tc>
          <w:tcPr>
            <w:tcW w:type="dxa" w:w="1701"/>
          </w:tcPr>
          <w:p>
            <w:r>
              <w:rPr>
                <w:b/>
              </w:rPr>
              <w:t>P value</w:t>
            </w:r>
          </w:p>
        </w:tc>
        <w:tc>
          <w:tcPr>
            <w:tcW w:type="dxa" w:w="1701"/>
          </w:tcPr>
          <w:p>
            <w:r>
              <w:rPr>
                <w:b/>
              </w:rP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
      <w:r>
        <w:rPr>
          <w:b/>
        </w:rPr>
        <w:t xml:space="preserve">Table 3. </w:t>
      </w:r>
      <w:r>
        <w:t>Summary of regression models: the Tohoku effect on neuropathic pain prescribing before and after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coeff. / effect size</w:t>
            </w:r>
          </w:p>
        </w:tc>
        <w:tc>
          <w:tcPr>
            <w:tcW w:type="dxa" w:w="1701"/>
          </w:tcPr>
          <w:p>
            <w:r>
              <w:rPr>
                <w:b/>
              </w:rPr>
              <w:t>P value</w:t>
            </w:r>
          </w:p>
        </w:tc>
        <w:tc>
          <w:tcPr>
            <w:tcW w:type="dxa" w:w="1701"/>
          </w:tcPr>
          <w:p>
            <w:r>
              <w:rPr>
                <w:b/>
              </w:rPr>
              <w:t>Result</w:t>
            </w:r>
          </w:p>
        </w:tc>
      </w:tr>
      <w:tr>
        <w:tc>
          <w:tcPr>
            <w:tcW w:type="dxa" w:w="1701"/>
          </w:tcPr>
          <w:p>
            <w:r>
              <w:rPr>
                <w:b/>
              </w:rPr>
              <w:t>Model 1</w:t>
            </w:r>
          </w:p>
        </w:tc>
        <w:tc>
          <w:tcPr>
            <w:tcW w:type="dxa" w:w="1701"/>
          </w:tcPr>
          <w:p>
            <w:r>
              <w:rPr>
                <w:b/>
              </w:rPr>
              <w:t>Neuropathic pain drugs / surgery (unadjusted)</w:t>
            </w:r>
          </w:p>
        </w:tc>
        <w:tc>
          <w:tcPr>
            <w:tcW w:type="dxa" w:w="1701"/>
          </w:tcPr>
          <w:p>
            <w:r>
              <w:rPr>
                <w:b/>
              </w:rPr>
              <w:t>d = 2.806</w:t>
            </w:r>
          </w:p>
        </w:tc>
        <w:tc>
          <w:tcPr>
            <w:tcW w:type="dxa" w:w="1701"/>
          </w:tcPr>
          <w:p>
            <w:r>
              <w:rPr>
                <w:b/>
              </w:rPr>
              <w:t>0.0000</w:t>
            </w:r>
          </w:p>
        </w:tc>
        <w:tc>
          <w:tcPr>
            <w:tcW w:type="dxa" w:w="1701"/>
          </w:tcPr>
          <w:p>
            <w:r>
              <w:rPr>
                <w:b/>
              </w:rPr>
              <w:t>***</w:t>
            </w:r>
          </w:p>
        </w:tc>
      </w:tr>
      <w:tr>
        <w:tc>
          <w:tcPr>
            <w:tcW w:type="dxa" w:w="1701"/>
          </w:tcPr>
          <w:p>
            <w:r>
              <w:t>Model 2</w:t>
            </w:r>
          </w:p>
        </w:tc>
        <w:tc>
          <w:tcPr>
            <w:tcW w:type="dxa" w:w="1701"/>
          </w:tcPr>
          <w:p>
            <w:r>
              <w:t>Neuropathic pain drugs / surgery (fully adjusted)</w:t>
            </w:r>
          </w:p>
        </w:tc>
        <w:tc>
          <w:tcPr>
            <w:tcW w:type="dxa" w:w="1701"/>
          </w:tcPr>
          <w:p>
            <w:r>
              <w:t>β = 32.6</w:t>
            </w:r>
          </w:p>
        </w:tc>
        <w:tc>
          <w:tcPr>
            <w:tcW w:type="dxa" w:w="1701"/>
          </w:tcPr>
          <w:p>
            <w:r>
              <w:t>0.1501</w:t>
            </w:r>
          </w:p>
        </w:tc>
        <w:tc>
          <w:tcPr>
            <w:tcW w:type="dxa" w:w="1701"/>
          </w:tcPr>
          <w:p>
            <w:r>
              <w:t>ns</w:t>
            </w:r>
          </w:p>
        </w:tc>
      </w:tr>
      <w:tr>
        <w:tc>
          <w:tcPr>
            <w:tcW w:type="dxa" w:w="1701"/>
          </w:tcPr>
          <w:p>
            <w:r>
              <w:t>Model 3</w:t>
            </w:r>
          </w:p>
        </w:tc>
        <w:tc>
          <w:tcPr>
            <w:tcW w:type="dxa" w:w="1701"/>
          </w:tcPr>
          <w:p>
            <w:r>
              <w:t>Core neuropathic drugs (PGB+MGB) (fully adjusted)</w:t>
            </w:r>
          </w:p>
        </w:tc>
        <w:tc>
          <w:tcPr>
            <w:tcW w:type="dxa" w:w="1701"/>
          </w:tcPr>
          <w:p>
            <w:r>
              <w:t>β = 15.7</w:t>
            </w:r>
          </w:p>
        </w:tc>
        <w:tc>
          <w:tcPr>
            <w:tcW w:type="dxa" w:w="1701"/>
          </w:tcPr>
          <w:p>
            <w:r>
              <w:t>0.2292</w:t>
            </w:r>
          </w:p>
        </w:tc>
        <w:tc>
          <w:tcPr>
            <w:tcW w:type="dxa" w:w="1701"/>
          </w:tcPr>
          <w:p>
            <w:r>
              <w:t>ns</w:t>
            </w:r>
          </w:p>
        </w:tc>
      </w:tr>
      <w:tr>
        <w:tc>
          <w:tcPr>
            <w:tcW w:type="dxa" w:w="1701"/>
          </w:tcPr>
          <w:p>
            <w:r>
              <w:t>Model 4</w:t>
            </w:r>
          </w:p>
        </w:tc>
        <w:tc>
          <w:tcPr>
            <w:tcW w:type="dxa" w:w="1701"/>
          </w:tcPr>
          <w:p>
            <w:r>
              <w:t>Nerve blocks / surgery (fully adjusted)</w:t>
            </w:r>
          </w:p>
        </w:tc>
        <w:tc>
          <w:tcPr>
            <w:tcW w:type="dxa" w:w="1701"/>
          </w:tcPr>
          <w:p>
            <w:r>
              <w:t>β = 0.08</w:t>
            </w:r>
          </w:p>
        </w:tc>
        <w:tc>
          <w:tcPr>
            <w:tcW w:type="dxa" w:w="1701"/>
          </w:tcPr>
          <w:p>
            <w:r>
              <w:t>0.8631</w:t>
            </w:r>
          </w:p>
        </w:tc>
        <w:tc>
          <w:tcPr>
            <w:tcW w:type="dxa" w:w="1701"/>
          </w:tcPr>
          <w:p>
            <w:r>
              <w:t>ns</w:t>
            </w:r>
          </w:p>
        </w:tc>
      </w:tr>
      <w:tr>
        <w:tc>
          <w:tcPr>
            <w:tcW w:type="dxa" w:w="1701"/>
          </w:tcPr>
          <w:p>
            <w:r>
              <w:t>Model 5</w:t>
            </w:r>
          </w:p>
        </w:tc>
        <w:tc>
          <w:tcPr>
            <w:tcW w:type="dxa" w:w="1701"/>
          </w:tcPr>
          <w:p>
            <w:r>
              <w:t>Neuropathic pain drugs (acute + confounder adj.)</w:t>
            </w:r>
          </w:p>
        </w:tc>
        <w:tc>
          <w:tcPr>
            <w:tcW w:type="dxa" w:w="1701"/>
          </w:tcPr>
          <w:p>
            <w:r>
              <w:t>β = 31.5</w:t>
            </w:r>
          </w:p>
        </w:tc>
        <w:tc>
          <w:tcPr>
            <w:tcW w:type="dxa" w:w="1701"/>
          </w:tcPr>
          <w:p>
            <w:r>
              <w:t>0.1488</w:t>
            </w:r>
          </w:p>
        </w:tc>
        <w:tc>
          <w:tcPr>
            <w:tcW w:type="dxa" w:w="1701"/>
          </w:tcPr>
          <w:p>
            <w:r>
              <w:t>ns</w:t>
            </w:r>
          </w:p>
        </w:tc>
      </w:tr>
      <w:tr>
        <w:tc>
          <w:tcPr>
            <w:tcW w:type="dxa" w:w="1701"/>
          </w:tcPr>
          <w:p>
            <w:r>
              <w:t>Adj CPSP</w:t>
            </w:r>
          </w:p>
        </w:tc>
        <w:tc>
          <w:tcPr>
            <w:tcW w:type="dxa" w:w="1701"/>
          </w:tcPr>
          <w:p>
            <w:r>
              <w:t>Confounder-removed residual</w:t>
            </w:r>
          </w:p>
        </w:tc>
        <w:tc>
          <w:tcPr>
            <w:tcW w:type="dxa" w:w="1701"/>
          </w:tcPr>
          <w:p>
            <w:r>
              <w:t>d = 0.437</w:t>
            </w:r>
          </w:p>
        </w:tc>
        <w:tc>
          <w:tcPr>
            <w:tcW w:type="dxa" w:w="1701"/>
          </w:tcPr>
          <w:p>
            <w:r>
              <w:t>0.3230</w:t>
            </w:r>
          </w:p>
        </w:tc>
        <w:tc>
          <w:tcPr>
            <w:tcW w:type="dxa" w:w="1701"/>
          </w:tcPr>
          <w:p>
            <w:r>
              <w:t>ns</w:t>
            </w:r>
          </w:p>
        </w:tc>
      </w:tr>
    </w:tbl>
    <w:p>
      <w:r>
        <w:rPr>
          <w:i/>
          <w:sz w:val="18"/>
        </w:rPr>
        <w:t>*** p &lt; 0.001; ns = not significant</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