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Methods</w:t>
      </w:r>
    </w:p>
    <w:p>
      <w:pPr>
        <w:pStyle w:val="Heading2"/>
      </w:pPr>
      <w:r>
        <w:rPr>
          <w:color w:val="000000"/>
        </w:rPr>
        <w:t>Study Design and Setting</w:t>
      </w:r>
    </w:p>
    <w:p>
      <w:r>
        <w:rPr>
          <w:sz w:val="20"/>
        </w:rPr>
        <w:t>This retrospective, single-center, observational study was conducted at Juntendo University Shizuoka Hospital, Japan, using medical records from April 1, 2014, to October 23, 2024. The study was approved by the institutional review board and conducted in accordance with the Declaration of Helsinki (2013 revision) and the Japanese Ethical Guidelines for Medical and Biological Research Involving Human Subjects (2021). Informed consent was waived via an opt-out mechanism.</w:t>
      </w:r>
    </w:p>
    <w:p>
      <w:pPr>
        <w:pStyle w:val="Heading2"/>
      </w:pPr>
      <w:r>
        <w:rPr>
          <w:color w:val="000000"/>
        </w:rPr>
        <w:t>Participants</w:t>
      </w:r>
    </w:p>
    <w:p>
      <w:r>
        <w:rPr>
          <w:sz w:val="20"/>
        </w:rPr>
        <w:t>We included women aged ≥18 years who underwent cesarean section under regional anesthesia (spinal, epidural, or combined spinal-epidural). Exclusion criteria were: general anesthesia, cardiac arrest in the operating room, pre-anesthesia systolic blood pressure &lt;90 mmHg, intrauterine fetal death, vanishing twin, and triplet pregnancy.</w:t>
      </w:r>
    </w:p>
    <w:p>
      <w:pPr>
        <w:pStyle w:val="Heading2"/>
      </w:pPr>
      <w:r>
        <w:rPr>
          <w:color w:val="000000"/>
        </w:rPr>
        <w:t>Outcome Measures</w:t>
      </w:r>
    </w:p>
    <w:p>
      <w:r>
        <w:rPr>
          <w:sz w:val="20"/>
        </w:rPr>
        <w:t>Because this was a retrospective study and nausea and vomiting could not be directly ascertained from medical records, intraoperative antiemetic use was employed as a surrogate marker for IONV.</w:t>
      </w:r>
      <w:r>
        <w:rPr>
          <w:sz w:val="16"/>
          <w:vertAlign w:val="superscript"/>
        </w:rPr>
        <w:t>2,3</w:t>
      </w:r>
      <w:r>
        <w:rPr>
          <w:sz w:val="20"/>
        </w:rPr>
        <w:t xml:space="preserve"> The primary outcome was antiemetic use during the period from anesthesia induction to delivery or from delivery to operating room exit (i.e., any intraoperative antiemetic use). The secondary outcome was antiemetic use from anesthesia induction to delivery only. Antiemetics included ondansetron, granisetron, metoclopramide, droperidol, prochlorperazine (Novamin), hydroxyzine (Atarax-P), and dexamethasone.</w:t>
      </w:r>
    </w:p>
    <w:p>
      <w:r>
        <w:rPr>
          <w:sz w:val="20"/>
        </w:rPr>
        <w:t>Patients who received antiemetics before anesthesia induction (during the admission-to-anesthesia period) were excluded from the outcome analysis, as pre-anesthesia antiemetic administration was considered likely prophylactic.</w:t>
      </w:r>
      <w:r>
        <w:rPr>
          <w:sz w:val="16"/>
          <w:vertAlign w:val="superscript"/>
        </w:rPr>
        <w:t>12-14</w:t>
      </w:r>
      <w:r>
        <w:rPr>
          <w:sz w:val="20"/>
        </w:rPr>
      </w:r>
    </w:p>
    <w:p>
      <w:pPr>
        <w:pStyle w:val="Heading2"/>
      </w:pPr>
      <w:r>
        <w:rPr>
          <w:color w:val="000000"/>
        </w:rPr>
        <w:t>Statistical Analysis</w:t>
      </w:r>
    </w:p>
    <w:p>
      <w:r>
        <w:rPr>
          <w:sz w:val="20"/>
        </w:rPr>
        <w:t>Continuous variables were summarized as median [interquartile range] and compared using the Mann-Whitney U test. Categorical variables were summarized as n (%) and compared using the chi-square test or Fisher's exact test where expected cell counts were &lt;5.</w:t>
      </w:r>
    </w:p>
    <w:p>
      <w:r>
        <w:rPr>
          <w:sz w:val="20"/>
        </w:rPr>
        <w:t>Multivariable logistic regression was performed to evaluate the association between twin pregnancy and IONV, adjusting for known risk factors: age, body mass index (BMI), gestational age, emergency cesarean section, prior cesarean section, hypertensive disorders of pregnancy (HDP), epidural anesthesia, surgery time, and intraoperative hypotension (systolic blood pressure &lt;90 mmHg).</w:t>
      </w:r>
      <w:r>
        <w:rPr>
          <w:sz w:val="16"/>
          <w:vertAlign w:val="superscript"/>
        </w:rPr>
        <w:t>7,8</w:t>
      </w:r>
      <w:r>
        <w:rPr>
          <w:sz w:val="20"/>
        </w:rPr>
        <w:t xml:space="preserve"> Uterine exteriorization was not included in the model because of excessive missing data (available in only approximately 20% of the cohort). Results are presented as odds ratios (OR) with 95% confidence intervals (CI). A two-sided P &lt; 0.05 was considered statistically significant. All analyses were performed using Python 3.12 with statsmodels 0.14, scipy 1.14, and scikit-learn 1.6.</w:t>
      </w:r>
    </w:p>
    <w:p>
      <w:pPr>
        <w:pStyle w:val="Heading1"/>
      </w:pPr>
      <w:r>
        <w:rPr>
          <w:color w:val="000000"/>
        </w:rPr>
        <w:t>Results</w:t>
      </w:r>
    </w:p>
    <w:p>
      <w:pPr>
        <w:pStyle w:val="Heading2"/>
      </w:pPr>
      <w:r>
        <w:rPr>
          <w:color w:val="000000"/>
        </w:rPr>
        <w:t>Study Population</w:t>
      </w:r>
    </w:p>
    <w:p>
      <w:r>
        <w:rPr>
          <w:sz w:val="20"/>
        </w:rPr>
        <w:t>A total of 3,479 women who underwent cesarean section during the study period were identified (3,113 singleton and 366 twin pregnancies). After applying exclusion criteria, 3,243 patients remained (3,243 total; 6 excluded for general anesthesia, 13 for intrauterine fetal death, 3 for vanishing twin, 5 for triplet pregnancy, 4 for pre-anesthesia hypotension, and 61 for unavailable anesthesia data). An additional 55 patients who received pre-anesthesia antiemetics were excluded from the outcome analysis, yielding a final analysis cohort of 3,188 patients (2,846 singleton, 342 twin) (Fig. 1).</w:t>
      </w:r>
    </w:p>
    <w:p>
      <w:pPr>
        <w:pStyle w:val="Heading2"/>
      </w:pPr>
      <w:r>
        <w:rPr>
          <w:color w:val="000000"/>
        </w:rPr>
        <w:t>Patient Characteristics (Table 1)</w:t>
      </w:r>
    </w:p>
    <w:p>
      <w:r>
        <w:rPr>
          <w:sz w:val="20"/>
        </w:rPr>
        <w:t>Baseline patient characteristics are summarized in Table 1. Compared with the singleton group, the twin group had significantly lower age (32.0 vs 34.0 years, P &lt; 0.001), lower gestational age (37.0 vs 38.0 weeks, P &lt; 0.001), fewer emergency cesarean sections (35.4% vs 46.8%, P &lt; 0.001), fewer prior cesarean sections (11.7% vs 45.0%, P &lt; 0.001), lower hypotension incidence (44.2% vs 52.8%, P = 0.003), and higher blood loss (1195 vs 650 mL, P &lt; 0.001). BMI, epidural use, HDP, and preoperative steroid use did not differ significantly between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Singleton</w:t>
            </w:r>
          </w:p>
        </w:tc>
        <w:tc>
          <w:tcPr>
            <w:tcW w:type="dxa" w:w="2160"/>
          </w:tcPr>
          <w:p>
            <w:r>
              <w:rPr>
                <w:b/>
                <w:sz w:val="18"/>
              </w:rPr>
              <w:t>Twin</w:t>
            </w:r>
          </w:p>
        </w:tc>
        <w:tc>
          <w:tcPr>
            <w:tcW w:type="dxa" w:w="2160"/>
          </w:tcPr>
          <w:p>
            <w:r>
              <w:rPr>
                <w:b/>
                <w:sz w:val="18"/>
              </w:rPr>
              <w:t>P-value</w:t>
            </w:r>
          </w:p>
        </w:tc>
      </w:tr>
      <w:tr>
        <w:tc>
          <w:tcPr>
            <w:tcW w:type="dxa" w:w="2160"/>
          </w:tcPr>
          <w:p>
            <w:r>
              <w:rPr>
                <w:sz w:val="18"/>
              </w:rPr>
              <w:t>Age (years)</w:t>
            </w:r>
          </w:p>
        </w:tc>
        <w:tc>
          <w:tcPr>
            <w:tcW w:type="dxa" w:w="2160"/>
          </w:tcPr>
          <w:p>
            <w:r>
              <w:rPr>
                <w:sz w:val="18"/>
              </w:rPr>
              <w:t>34.0 [30.0–37.0]</w:t>
            </w:r>
          </w:p>
        </w:tc>
        <w:tc>
          <w:tcPr>
            <w:tcW w:type="dxa" w:w="2160"/>
          </w:tcPr>
          <w:p>
            <w:r>
              <w:rPr>
                <w:sz w:val="18"/>
              </w:rPr>
              <w:t>32.0 [29.0–35.0]</w:t>
            </w:r>
          </w:p>
        </w:tc>
        <w:tc>
          <w:tcPr>
            <w:tcW w:type="dxa" w:w="2160"/>
          </w:tcPr>
          <w:p>
            <w:r>
              <w:rPr>
                <w:sz w:val="18"/>
              </w:rPr>
              <w:t>&lt; 0.001</w:t>
            </w:r>
          </w:p>
        </w:tc>
      </w:tr>
      <w:tr>
        <w:tc>
          <w:tcPr>
            <w:tcW w:type="dxa" w:w="2160"/>
          </w:tcPr>
          <w:p>
            <w:r>
              <w:rPr>
                <w:sz w:val="18"/>
              </w:rPr>
              <w:t>BMI (kg/m²)</w:t>
            </w:r>
          </w:p>
        </w:tc>
        <w:tc>
          <w:tcPr>
            <w:tcW w:type="dxa" w:w="2160"/>
          </w:tcPr>
          <w:p>
            <w:r>
              <w:rPr>
                <w:sz w:val="18"/>
              </w:rPr>
              <w:t>24.8 [22.5–27.8]</w:t>
            </w:r>
          </w:p>
        </w:tc>
        <w:tc>
          <w:tcPr>
            <w:tcW w:type="dxa" w:w="2160"/>
          </w:tcPr>
          <w:p>
            <w:r>
              <w:rPr>
                <w:sz w:val="18"/>
              </w:rPr>
              <w:t>25.3 [22.8–28.0]</w:t>
            </w:r>
          </w:p>
        </w:tc>
        <w:tc>
          <w:tcPr>
            <w:tcW w:type="dxa" w:w="2160"/>
          </w:tcPr>
          <w:p>
            <w:r>
              <w:rPr>
                <w:sz w:val="18"/>
              </w:rPr>
              <w:t>0.183</w:t>
            </w:r>
          </w:p>
        </w:tc>
      </w:tr>
      <w:tr>
        <w:tc>
          <w:tcPr>
            <w:tcW w:type="dxa" w:w="2160"/>
          </w:tcPr>
          <w:p>
            <w:r>
              <w:rPr>
                <w:sz w:val="18"/>
              </w:rPr>
              <w:t>Gestational age (weeks)</w:t>
            </w:r>
          </w:p>
        </w:tc>
        <w:tc>
          <w:tcPr>
            <w:tcW w:type="dxa" w:w="2160"/>
          </w:tcPr>
          <w:p>
            <w:r>
              <w:rPr>
                <w:sz w:val="18"/>
              </w:rPr>
              <w:t>38.0 [37.0–38.6]</w:t>
            </w:r>
          </w:p>
        </w:tc>
        <w:tc>
          <w:tcPr>
            <w:tcW w:type="dxa" w:w="2160"/>
          </w:tcPr>
          <w:p>
            <w:r>
              <w:rPr>
                <w:sz w:val="18"/>
              </w:rPr>
              <w:t>37.0 [36.1–37.3]</w:t>
            </w:r>
          </w:p>
        </w:tc>
        <w:tc>
          <w:tcPr>
            <w:tcW w:type="dxa" w:w="2160"/>
          </w:tcPr>
          <w:p>
            <w:r>
              <w:rPr>
                <w:sz w:val="18"/>
              </w:rPr>
              <w:t>&lt; 0.001</w:t>
            </w:r>
          </w:p>
        </w:tc>
      </w:tr>
      <w:tr>
        <w:tc>
          <w:tcPr>
            <w:tcW w:type="dxa" w:w="2160"/>
          </w:tcPr>
          <w:p>
            <w:r>
              <w:rPr>
                <w:sz w:val="18"/>
              </w:rPr>
              <w:t>Surgery time (min)</w:t>
            </w:r>
          </w:p>
        </w:tc>
        <w:tc>
          <w:tcPr>
            <w:tcW w:type="dxa" w:w="2160"/>
          </w:tcPr>
          <w:p>
            <w:r>
              <w:rPr>
                <w:sz w:val="18"/>
              </w:rPr>
              <w:t>47.0 [40.0–57.0]</w:t>
            </w:r>
          </w:p>
        </w:tc>
        <w:tc>
          <w:tcPr>
            <w:tcW w:type="dxa" w:w="2160"/>
          </w:tcPr>
          <w:p>
            <w:r>
              <w:rPr>
                <w:sz w:val="18"/>
              </w:rPr>
              <w:t>44.0 [38.0–51.0]</w:t>
            </w:r>
          </w:p>
        </w:tc>
        <w:tc>
          <w:tcPr>
            <w:tcW w:type="dxa" w:w="2160"/>
          </w:tcPr>
          <w:p>
            <w:r>
              <w:rPr>
                <w:sz w:val="18"/>
              </w:rPr>
              <w:t>&lt; 0.001</w:t>
            </w:r>
          </w:p>
        </w:tc>
      </w:tr>
      <w:tr>
        <w:tc>
          <w:tcPr>
            <w:tcW w:type="dxa" w:w="2160"/>
          </w:tcPr>
          <w:p>
            <w:r>
              <w:rPr>
                <w:sz w:val="18"/>
              </w:rPr>
              <w:t>Anesthesia time (min)</w:t>
            </w:r>
          </w:p>
        </w:tc>
        <w:tc>
          <w:tcPr>
            <w:tcW w:type="dxa" w:w="2160"/>
          </w:tcPr>
          <w:p>
            <w:r>
              <w:rPr>
                <w:sz w:val="18"/>
              </w:rPr>
              <w:t>64.0 [55.0–76.0]</w:t>
            </w:r>
          </w:p>
        </w:tc>
        <w:tc>
          <w:tcPr>
            <w:tcW w:type="dxa" w:w="2160"/>
          </w:tcPr>
          <w:p>
            <w:r>
              <w:rPr>
                <w:sz w:val="18"/>
              </w:rPr>
              <w:t>58.0 [51.0–67.8]</w:t>
            </w:r>
          </w:p>
        </w:tc>
        <w:tc>
          <w:tcPr>
            <w:tcW w:type="dxa" w:w="2160"/>
          </w:tcPr>
          <w:p>
            <w:r>
              <w:rPr>
                <w:sz w:val="18"/>
              </w:rPr>
              <w:t>&lt; 0.001</w:t>
            </w:r>
          </w:p>
        </w:tc>
      </w:tr>
      <w:tr>
        <w:tc>
          <w:tcPr>
            <w:tcW w:type="dxa" w:w="2160"/>
          </w:tcPr>
          <w:p>
            <w:r>
              <w:rPr>
                <w:sz w:val="18"/>
              </w:rPr>
              <w:t>Estimated blood loss (mL)</w:t>
            </w:r>
          </w:p>
        </w:tc>
        <w:tc>
          <w:tcPr>
            <w:tcW w:type="dxa" w:w="2160"/>
          </w:tcPr>
          <w:p>
            <w:r>
              <w:rPr>
                <w:sz w:val="18"/>
              </w:rPr>
              <w:t>650.0 [450.0–930.0]</w:t>
            </w:r>
          </w:p>
        </w:tc>
        <w:tc>
          <w:tcPr>
            <w:tcW w:type="dxa" w:w="2160"/>
          </w:tcPr>
          <w:p>
            <w:r>
              <w:rPr>
                <w:sz w:val="18"/>
              </w:rPr>
              <w:t>1195.0 [922.5–1670.0]</w:t>
            </w:r>
          </w:p>
        </w:tc>
        <w:tc>
          <w:tcPr>
            <w:tcW w:type="dxa" w:w="2160"/>
          </w:tcPr>
          <w:p>
            <w:r>
              <w:rPr>
                <w:sz w:val="18"/>
              </w:rPr>
              <w:t>&lt; 0.001</w:t>
            </w:r>
          </w:p>
        </w:tc>
      </w:tr>
      <w:tr>
        <w:tc>
          <w:tcPr>
            <w:tcW w:type="dxa" w:w="2160"/>
          </w:tcPr>
          <w:p>
            <w:r>
              <w:rPr>
                <w:sz w:val="18"/>
              </w:rPr>
              <w:t>Infusion volume (mL)</w:t>
            </w:r>
          </w:p>
        </w:tc>
        <w:tc>
          <w:tcPr>
            <w:tcW w:type="dxa" w:w="2160"/>
          </w:tcPr>
          <w:p>
            <w:r>
              <w:rPr>
                <w:sz w:val="18"/>
              </w:rPr>
              <w:t>1000.0 [750.0–1250.0]</w:t>
            </w:r>
          </w:p>
        </w:tc>
        <w:tc>
          <w:tcPr>
            <w:tcW w:type="dxa" w:w="2160"/>
          </w:tcPr>
          <w:p>
            <w:r>
              <w:rPr>
                <w:sz w:val="18"/>
              </w:rPr>
              <w:t>1050.0 [800.0–1300.0]</w:t>
            </w:r>
          </w:p>
        </w:tc>
        <w:tc>
          <w:tcPr>
            <w:tcW w:type="dxa" w:w="2160"/>
          </w:tcPr>
          <w:p>
            <w:r>
              <w:rPr>
                <w:sz w:val="18"/>
              </w:rPr>
              <w:t>0.054</w:t>
            </w:r>
          </w:p>
        </w:tc>
      </w:tr>
      <w:tr>
        <w:tc>
          <w:tcPr>
            <w:tcW w:type="dxa" w:w="2160"/>
          </w:tcPr>
          <w:p>
            <w:r>
              <w:rPr>
                <w:sz w:val="18"/>
              </w:rPr>
              <w:t>Hypotensive episodes (count)</w:t>
            </w:r>
          </w:p>
        </w:tc>
        <w:tc>
          <w:tcPr>
            <w:tcW w:type="dxa" w:w="2160"/>
          </w:tcPr>
          <w:p>
            <w:r>
              <w:rPr>
                <w:sz w:val="18"/>
              </w:rPr>
              <w:t>1.0 [0.0–2.0]</w:t>
            </w:r>
          </w:p>
        </w:tc>
        <w:tc>
          <w:tcPr>
            <w:tcW w:type="dxa" w:w="2160"/>
          </w:tcPr>
          <w:p>
            <w:r>
              <w:rPr>
                <w:sz w:val="18"/>
              </w:rPr>
              <w:t>0.0 [0.0–2.0]</w:t>
            </w:r>
          </w:p>
        </w:tc>
        <w:tc>
          <w:tcPr>
            <w:tcW w:type="dxa" w:w="2160"/>
          </w:tcPr>
          <w:p>
            <w:r>
              <w:rPr>
                <w:sz w:val="18"/>
              </w:rPr>
              <w:t>0.002</w:t>
            </w:r>
          </w:p>
        </w:tc>
      </w:tr>
      <w:tr>
        <w:tc>
          <w:tcPr>
            <w:tcW w:type="dxa" w:w="2160"/>
          </w:tcPr>
          <w:p>
            <w:r>
              <w:rPr>
                <w:sz w:val="18"/>
              </w:rPr>
              <w:t>Intrathecal bupivacaine (mg)</w:t>
            </w:r>
          </w:p>
        </w:tc>
        <w:tc>
          <w:tcPr>
            <w:tcW w:type="dxa" w:w="2160"/>
          </w:tcPr>
          <w:p>
            <w:r>
              <w:rPr>
                <w:sz w:val="18"/>
              </w:rPr>
              <w:t>10.0 [10.0–11.0]</w:t>
            </w:r>
          </w:p>
        </w:tc>
        <w:tc>
          <w:tcPr>
            <w:tcW w:type="dxa" w:w="2160"/>
          </w:tcPr>
          <w:p>
            <w:r>
              <w:rPr>
                <w:sz w:val="18"/>
              </w:rPr>
              <w:t>10.0 [10.0–11.0]</w:t>
            </w:r>
          </w:p>
        </w:tc>
        <w:tc>
          <w:tcPr>
            <w:tcW w:type="dxa" w:w="2160"/>
          </w:tcPr>
          <w:p>
            <w:r>
              <w:rPr>
                <w:sz w:val="18"/>
              </w:rPr>
              <w:t>0.178</w:t>
            </w:r>
          </w:p>
        </w:tc>
      </w:tr>
      <w:tr>
        <w:tc>
          <w:tcPr>
            <w:tcW w:type="dxa" w:w="2160"/>
          </w:tcPr>
          <w:p>
            <w:r>
              <w:rPr>
                <w:sz w:val="18"/>
              </w:rPr>
              <w:t>Intrathecal fentanyl (μg)</w:t>
            </w:r>
          </w:p>
        </w:tc>
        <w:tc>
          <w:tcPr>
            <w:tcW w:type="dxa" w:w="2160"/>
          </w:tcPr>
          <w:p>
            <w:r>
              <w:rPr>
                <w:sz w:val="18"/>
              </w:rPr>
              <w:t>20.0 [20.0–25.0]</w:t>
            </w:r>
          </w:p>
        </w:tc>
        <w:tc>
          <w:tcPr>
            <w:tcW w:type="dxa" w:w="2160"/>
          </w:tcPr>
          <w:p>
            <w:r>
              <w:rPr>
                <w:sz w:val="18"/>
              </w:rPr>
              <w:t>20.0 [15.0–20.0]</w:t>
            </w:r>
          </w:p>
        </w:tc>
        <w:tc>
          <w:tcPr>
            <w:tcW w:type="dxa" w:w="2160"/>
          </w:tcPr>
          <w:p>
            <w:r>
              <w:rPr>
                <w:sz w:val="18"/>
              </w:rPr>
              <w:t>0.182</w:t>
            </w:r>
          </w:p>
        </w:tc>
      </w:tr>
      <w:tr>
        <w:tc>
          <w:tcPr>
            <w:tcW w:type="dxa" w:w="2160"/>
          </w:tcPr>
          <w:p>
            <w:r>
              <w:rPr>
                <w:sz w:val="18"/>
              </w:rPr>
              <w:t>Emergency CS</w:t>
            </w:r>
          </w:p>
        </w:tc>
        <w:tc>
          <w:tcPr>
            <w:tcW w:type="dxa" w:w="2160"/>
          </w:tcPr>
          <w:p>
            <w:r>
              <w:rPr>
                <w:sz w:val="18"/>
              </w:rPr>
              <w:t>1331/2846 (46.8%)</w:t>
            </w:r>
          </w:p>
        </w:tc>
        <w:tc>
          <w:tcPr>
            <w:tcW w:type="dxa" w:w="2160"/>
          </w:tcPr>
          <w:p>
            <w:r>
              <w:rPr>
                <w:sz w:val="18"/>
              </w:rPr>
              <w:t>121/342 (35.4%)</w:t>
            </w:r>
          </w:p>
        </w:tc>
        <w:tc>
          <w:tcPr>
            <w:tcW w:type="dxa" w:w="2160"/>
          </w:tcPr>
          <w:p>
            <w:r>
              <w:rPr>
                <w:sz w:val="18"/>
              </w:rPr>
              <w:t>&lt; 0.001</w:t>
            </w:r>
          </w:p>
        </w:tc>
      </w:tr>
      <w:tr>
        <w:tc>
          <w:tcPr>
            <w:tcW w:type="dxa" w:w="2160"/>
          </w:tcPr>
          <w:p>
            <w:r>
              <w:rPr>
                <w:sz w:val="18"/>
              </w:rPr>
              <w:t>Prior CS</w:t>
            </w:r>
          </w:p>
        </w:tc>
        <w:tc>
          <w:tcPr>
            <w:tcW w:type="dxa" w:w="2160"/>
          </w:tcPr>
          <w:p>
            <w:r>
              <w:rPr>
                <w:sz w:val="18"/>
              </w:rPr>
              <w:t>1280/2846 (45.0%)</w:t>
            </w:r>
          </w:p>
        </w:tc>
        <w:tc>
          <w:tcPr>
            <w:tcW w:type="dxa" w:w="2160"/>
          </w:tcPr>
          <w:p>
            <w:r>
              <w:rPr>
                <w:sz w:val="18"/>
              </w:rPr>
              <w:t>40/342 (11.7%)</w:t>
            </w:r>
          </w:p>
        </w:tc>
        <w:tc>
          <w:tcPr>
            <w:tcW w:type="dxa" w:w="2160"/>
          </w:tcPr>
          <w:p>
            <w:r>
              <w:rPr>
                <w:sz w:val="18"/>
              </w:rPr>
              <w:t>&lt; 0.001</w:t>
            </w:r>
          </w:p>
        </w:tc>
      </w:tr>
      <w:tr>
        <w:tc>
          <w:tcPr>
            <w:tcW w:type="dxa" w:w="2160"/>
          </w:tcPr>
          <w:p>
            <w:r>
              <w:rPr>
                <w:sz w:val="18"/>
              </w:rPr>
              <w:t>Hypertensive disorders of pregnancy</w:t>
            </w:r>
          </w:p>
        </w:tc>
        <w:tc>
          <w:tcPr>
            <w:tcW w:type="dxa" w:w="2160"/>
          </w:tcPr>
          <w:p>
            <w:r>
              <w:rPr>
                <w:sz w:val="18"/>
              </w:rPr>
              <w:t>284/2846 (10.0%)</w:t>
            </w:r>
          </w:p>
        </w:tc>
        <w:tc>
          <w:tcPr>
            <w:tcW w:type="dxa" w:w="2160"/>
          </w:tcPr>
          <w:p>
            <w:r>
              <w:rPr>
                <w:sz w:val="18"/>
              </w:rPr>
              <w:t>33/342 (9.6%)</w:t>
            </w:r>
          </w:p>
        </w:tc>
        <w:tc>
          <w:tcPr>
            <w:tcW w:type="dxa" w:w="2160"/>
          </w:tcPr>
          <w:p>
            <w:r>
              <w:rPr>
                <w:sz w:val="18"/>
              </w:rPr>
              <w:t>0.847</w:t>
            </w:r>
          </w:p>
        </w:tc>
      </w:tr>
      <w:tr>
        <w:tc>
          <w:tcPr>
            <w:tcW w:type="dxa" w:w="2160"/>
          </w:tcPr>
          <w:p>
            <w:r>
              <w:rPr>
                <w:sz w:val="18"/>
              </w:rPr>
              <w:t>Preoperative steroid (≤1 week)</w:t>
            </w:r>
          </w:p>
        </w:tc>
        <w:tc>
          <w:tcPr>
            <w:tcW w:type="dxa" w:w="2160"/>
          </w:tcPr>
          <w:p>
            <w:r>
              <w:rPr>
                <w:sz w:val="18"/>
              </w:rPr>
              <w:t>207/2839 (7.3%)</w:t>
            </w:r>
          </w:p>
        </w:tc>
        <w:tc>
          <w:tcPr>
            <w:tcW w:type="dxa" w:w="2160"/>
          </w:tcPr>
          <w:p>
            <w:r>
              <w:rPr>
                <w:sz w:val="18"/>
              </w:rPr>
              <w:t>25/342 (7.3%)</w:t>
            </w:r>
          </w:p>
        </w:tc>
        <w:tc>
          <w:tcPr>
            <w:tcW w:type="dxa" w:w="2160"/>
          </w:tcPr>
          <w:p>
            <w:r>
              <w:rPr>
                <w:sz w:val="18"/>
              </w:rPr>
              <w:t>0.990</w:t>
            </w:r>
          </w:p>
        </w:tc>
      </w:tr>
      <w:tr>
        <w:tc>
          <w:tcPr>
            <w:tcW w:type="dxa" w:w="2160"/>
          </w:tcPr>
          <w:p>
            <w:r>
              <w:rPr>
                <w:sz w:val="18"/>
              </w:rPr>
              <w:t>Epidural anesthesia</w:t>
            </w:r>
          </w:p>
        </w:tc>
        <w:tc>
          <w:tcPr>
            <w:tcW w:type="dxa" w:w="2160"/>
          </w:tcPr>
          <w:p>
            <w:r>
              <w:rPr>
                <w:sz w:val="18"/>
              </w:rPr>
              <w:t>912/2846 (32.0%)</w:t>
            </w:r>
          </w:p>
        </w:tc>
        <w:tc>
          <w:tcPr>
            <w:tcW w:type="dxa" w:w="2160"/>
          </w:tcPr>
          <w:p>
            <w:r>
              <w:rPr>
                <w:sz w:val="18"/>
              </w:rPr>
              <w:t>105/342 (30.7%)</w:t>
            </w:r>
          </w:p>
        </w:tc>
        <w:tc>
          <w:tcPr>
            <w:tcW w:type="dxa" w:w="2160"/>
          </w:tcPr>
          <w:p>
            <w:r>
              <w:rPr>
                <w:sz w:val="18"/>
              </w:rPr>
              <w:t>0.615</w:t>
            </w:r>
          </w:p>
        </w:tc>
      </w:tr>
      <w:tr>
        <w:tc>
          <w:tcPr>
            <w:tcW w:type="dxa" w:w="2160"/>
          </w:tcPr>
          <w:p>
            <w:r>
              <w:rPr>
                <w:sz w:val="18"/>
              </w:rPr>
              <w:t>Continuous vasopressor infusion</w:t>
            </w:r>
          </w:p>
        </w:tc>
        <w:tc>
          <w:tcPr>
            <w:tcW w:type="dxa" w:w="2160"/>
          </w:tcPr>
          <w:p>
            <w:r>
              <w:rPr>
                <w:sz w:val="18"/>
              </w:rPr>
              <w:t>253/2846 (8.9%)</w:t>
            </w:r>
          </w:p>
        </w:tc>
        <w:tc>
          <w:tcPr>
            <w:tcW w:type="dxa" w:w="2160"/>
          </w:tcPr>
          <w:p>
            <w:r>
              <w:rPr>
                <w:sz w:val="18"/>
              </w:rPr>
              <w:t>33/342 (9.6%)</w:t>
            </w:r>
          </w:p>
        </w:tc>
        <w:tc>
          <w:tcPr>
            <w:tcW w:type="dxa" w:w="2160"/>
          </w:tcPr>
          <w:p>
            <w:r>
              <w:rPr>
                <w:sz w:val="18"/>
              </w:rPr>
              <w:t>0.642</w:t>
            </w:r>
          </w:p>
        </w:tc>
      </w:tr>
      <w:tr>
        <w:tc>
          <w:tcPr>
            <w:tcW w:type="dxa" w:w="2160"/>
          </w:tcPr>
          <w:p>
            <w:r>
              <w:rPr>
                <w:sz w:val="18"/>
              </w:rPr>
              <w:t>Hypotension (SBP &lt; 90 mmHg)</w:t>
            </w:r>
          </w:p>
        </w:tc>
        <w:tc>
          <w:tcPr>
            <w:tcW w:type="dxa" w:w="2160"/>
          </w:tcPr>
          <w:p>
            <w:r>
              <w:rPr>
                <w:sz w:val="18"/>
              </w:rPr>
              <w:t>1502/2845 (52.8%)</w:t>
            </w:r>
          </w:p>
        </w:tc>
        <w:tc>
          <w:tcPr>
            <w:tcW w:type="dxa" w:w="2160"/>
          </w:tcPr>
          <w:p>
            <w:r>
              <w:rPr>
                <w:sz w:val="18"/>
              </w:rPr>
              <w:t>151/342 (44.2%)</w:t>
            </w:r>
          </w:p>
        </w:tc>
        <w:tc>
          <w:tcPr>
            <w:tcW w:type="dxa" w:w="2160"/>
          </w:tcPr>
          <w:p>
            <w:r>
              <w:rPr>
                <w:sz w:val="18"/>
              </w:rPr>
              <w:t>0.003</w:t>
            </w:r>
          </w:p>
        </w:tc>
      </w:tr>
      <w:tr>
        <w:tc>
          <w:tcPr>
            <w:tcW w:type="dxa" w:w="2160"/>
          </w:tcPr>
          <w:p>
            <w:r>
              <w:rPr>
                <w:sz w:val="18"/>
              </w:rPr>
              <w:t>Uterine exteriorization</w:t>
            </w:r>
          </w:p>
        </w:tc>
        <w:tc>
          <w:tcPr>
            <w:tcW w:type="dxa" w:w="2160"/>
          </w:tcPr>
          <w:p>
            <w:r>
              <w:rPr>
                <w:sz w:val="18"/>
              </w:rPr>
              <w:t>563/607 (92.8%)</w:t>
            </w:r>
          </w:p>
        </w:tc>
        <w:tc>
          <w:tcPr>
            <w:tcW w:type="dxa" w:w="2160"/>
          </w:tcPr>
          <w:p>
            <w:r>
              <w:rPr>
                <w:sz w:val="18"/>
              </w:rPr>
              <w:t>73/74 (98.6%)</w:t>
            </w:r>
          </w:p>
        </w:tc>
        <w:tc>
          <w:tcPr>
            <w:tcW w:type="dxa" w:w="2160"/>
          </w:tcPr>
          <w:p>
            <w:r>
              <w:rPr>
                <w:sz w:val="18"/>
              </w:rPr>
              <w:t>0.077</w:t>
            </w:r>
          </w:p>
        </w:tc>
      </w:tr>
      <w:tr>
        <w:tc>
          <w:tcPr>
            <w:tcW w:type="dxa" w:w="2160"/>
          </w:tcPr>
          <w:p>
            <w:r>
              <w:rPr>
                <w:sz w:val="18"/>
              </w:rPr>
              <w:t>BMI ≥ 35 kg/m²</w:t>
            </w:r>
          </w:p>
        </w:tc>
        <w:tc>
          <w:tcPr>
            <w:tcW w:type="dxa" w:w="2160"/>
          </w:tcPr>
          <w:p>
            <w:r>
              <w:rPr>
                <w:sz w:val="18"/>
              </w:rPr>
              <w:t>114/2815 (4.0%)</w:t>
            </w:r>
          </w:p>
        </w:tc>
        <w:tc>
          <w:tcPr>
            <w:tcW w:type="dxa" w:w="2160"/>
          </w:tcPr>
          <w:p>
            <w:r>
              <w:rPr>
                <w:sz w:val="18"/>
              </w:rPr>
              <w:t>5/341 (1.5%)</w:t>
            </w:r>
          </w:p>
        </w:tc>
        <w:tc>
          <w:tcPr>
            <w:tcW w:type="dxa" w:w="2160"/>
          </w:tcPr>
          <w:p>
            <w:r>
              <w:rPr>
                <w:sz w:val="18"/>
              </w:rPr>
              <w:t>0.018</w:t>
            </w:r>
          </w:p>
        </w:tc>
      </w:tr>
    </w:tbl>
    <w:p/>
    <w:p>
      <w:pPr>
        <w:pStyle w:val="Heading2"/>
      </w:pPr>
      <w:r>
        <w:rPr>
          <w:color w:val="000000"/>
        </w:rPr>
        <w:t>IONV Outcomes</w:t>
      </w:r>
    </w:p>
    <w:p>
      <w:r>
        <w:rPr>
          <w:sz w:val="20"/>
        </w:rPr>
        <w:t>The primary outcome (any intraoperative antiemetic use) occurred in 504 of 2,846 singleton patients (17.7%) and 58 of 342 twin patients (17.0%), with no significant difference between groups (P = 0.731) (Table 2, Fig. 1). The secondary outcome (antiemetic use before delivery) was similarly not significantly different: 54 (1.9%) in singletons vs 5 (1.5%) in twins (P = 0.572). Post-delivery antiemetic use rates were also comparable (16.0% vs 15.8%, P = 0.938).</w:t>
      </w:r>
    </w:p>
    <w:p/>
    <w:p>
      <w:pPr>
        <w:jc w:val="center"/>
      </w:pPr>
      <w:r>
        <w:drawing>
          <wp:inline xmlns:a="http://schemas.openxmlformats.org/drawingml/2006/main" xmlns:pic="http://schemas.openxmlformats.org/drawingml/2006/picture">
            <wp:extent cx="5029200" cy="1002407"/>
            <wp:docPr id="1" name="Picture 1"/>
            <wp:cNvGraphicFramePr>
              <a:graphicFrameLocks noChangeAspect="1"/>
            </wp:cNvGraphicFramePr>
            <a:graphic>
              <a:graphicData uri="http://schemas.openxmlformats.org/drawingml/2006/picture">
                <pic:pic>
                  <pic:nvPicPr>
                    <pic:cNvPr id="0" name="fig1_ionv_rates.png"/>
                    <pic:cNvPicPr/>
                  </pic:nvPicPr>
                  <pic:blipFill>
                    <a:blip r:embed="rId9"/>
                    <a:stretch>
                      <a:fillRect/>
                    </a:stretch>
                  </pic:blipFill>
                  <pic:spPr>
                    <a:xfrm>
                      <a:off x="0" y="0"/>
                      <a:ext cx="5029200" cy="1002407"/>
                    </a:xfrm>
                    <a:prstGeom prst="rect"/>
                  </pic:spPr>
                </pic:pic>
              </a:graphicData>
            </a:graphic>
          </wp:inline>
        </w:drawing>
      </w:r>
    </w:p>
    <w:p>
      <w:pPr>
        <w:spacing w:before="240"/>
        <w:jc w:val="center"/>
      </w:pPr>
      <w:r>
        <w:rPr>
          <w:i/>
          <w:sz w:val="18"/>
        </w:rPr>
        <w:t>Figure 1. IONV rates by group.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Outcome</w:t>
            </w:r>
          </w:p>
        </w:tc>
        <w:tc>
          <w:tcPr>
            <w:tcW w:type="dxa" w:w="2160"/>
          </w:tcPr>
          <w:p>
            <w:r>
              <w:rPr>
                <w:b/>
                <w:sz w:val="18"/>
              </w:rPr>
              <w:t>Singleton</w:t>
            </w:r>
          </w:p>
        </w:tc>
        <w:tc>
          <w:tcPr>
            <w:tcW w:type="dxa" w:w="2160"/>
          </w:tcPr>
          <w:p>
            <w:r>
              <w:rPr>
                <w:b/>
                <w:sz w:val="18"/>
              </w:rPr>
              <w:t>Twin</w:t>
            </w:r>
          </w:p>
        </w:tc>
        <w:tc>
          <w:tcPr>
            <w:tcW w:type="dxa" w:w="2160"/>
          </w:tcPr>
          <w:p>
            <w:r>
              <w:rPr>
                <w:b/>
                <w:sz w:val="18"/>
              </w:rPr>
              <w:t>P-value</w:t>
            </w:r>
          </w:p>
        </w:tc>
      </w:tr>
      <w:tr>
        <w:tc>
          <w:tcPr>
            <w:tcW w:type="dxa" w:w="2160"/>
          </w:tcPr>
          <w:p>
            <w:r>
              <w:rPr>
                <w:sz w:val="18"/>
              </w:rPr>
              <w:t>Primary: any IONV (anesthesia→exit)</w:t>
            </w:r>
          </w:p>
        </w:tc>
        <w:tc>
          <w:tcPr>
            <w:tcW w:type="dxa" w:w="2160"/>
          </w:tcPr>
          <w:p>
            <w:r>
              <w:rPr>
                <w:sz w:val="18"/>
              </w:rPr>
              <w:t>504/2846 (17.7%)</w:t>
            </w:r>
          </w:p>
        </w:tc>
        <w:tc>
          <w:tcPr>
            <w:tcW w:type="dxa" w:w="2160"/>
          </w:tcPr>
          <w:p>
            <w:r>
              <w:rPr>
                <w:sz w:val="18"/>
              </w:rPr>
              <w:t>58/342 (17.0%)</w:t>
            </w:r>
          </w:p>
        </w:tc>
        <w:tc>
          <w:tcPr>
            <w:tcW w:type="dxa" w:w="2160"/>
          </w:tcPr>
          <w:p>
            <w:r>
              <w:rPr>
                <w:sz w:val="18"/>
              </w:rPr>
              <w:t>0.731</w:t>
            </w:r>
          </w:p>
        </w:tc>
      </w:tr>
      <w:tr>
        <w:tc>
          <w:tcPr>
            <w:tcW w:type="dxa" w:w="2160"/>
          </w:tcPr>
          <w:p>
            <w:r>
              <w:rPr>
                <w:sz w:val="18"/>
              </w:rPr>
              <w:t>Secondary: IONV before delivery</w:t>
            </w:r>
          </w:p>
        </w:tc>
        <w:tc>
          <w:tcPr>
            <w:tcW w:type="dxa" w:w="2160"/>
          </w:tcPr>
          <w:p>
            <w:r>
              <w:rPr>
                <w:sz w:val="18"/>
              </w:rPr>
              <w:t>54/2846 (1.9%)</w:t>
            </w:r>
          </w:p>
        </w:tc>
        <w:tc>
          <w:tcPr>
            <w:tcW w:type="dxa" w:w="2160"/>
          </w:tcPr>
          <w:p>
            <w:r>
              <w:rPr>
                <w:sz w:val="18"/>
              </w:rPr>
              <w:t>5/342 (1.5%)</w:t>
            </w:r>
          </w:p>
        </w:tc>
        <w:tc>
          <w:tcPr>
            <w:tcW w:type="dxa" w:w="2160"/>
          </w:tcPr>
          <w:p>
            <w:r>
              <w:rPr>
                <w:sz w:val="18"/>
              </w:rPr>
              <w:t>0.572</w:t>
            </w:r>
          </w:p>
        </w:tc>
      </w:tr>
      <w:tr>
        <w:tc>
          <w:tcPr>
            <w:tcW w:type="dxa" w:w="2160"/>
          </w:tcPr>
          <w:p>
            <w:r>
              <w:rPr>
                <w:sz w:val="18"/>
              </w:rPr>
              <w:t>Post-delivery IONV only</w:t>
            </w:r>
          </w:p>
        </w:tc>
        <w:tc>
          <w:tcPr>
            <w:tcW w:type="dxa" w:w="2160"/>
          </w:tcPr>
          <w:p>
            <w:r>
              <w:rPr>
                <w:sz w:val="18"/>
              </w:rPr>
              <w:t>454/2846 (16.0%)</w:t>
            </w:r>
          </w:p>
        </w:tc>
        <w:tc>
          <w:tcPr>
            <w:tcW w:type="dxa" w:w="2160"/>
          </w:tcPr>
          <w:p>
            <w:r>
              <w:rPr>
                <w:sz w:val="18"/>
              </w:rPr>
              <w:t>54/342 (15.8%)</w:t>
            </w:r>
          </w:p>
        </w:tc>
        <w:tc>
          <w:tcPr>
            <w:tcW w:type="dxa" w:w="2160"/>
          </w:tcPr>
          <w:p>
            <w:r>
              <w:rPr>
                <w:sz w:val="18"/>
              </w:rPr>
              <w:t>0.938</w:t>
            </w:r>
          </w:p>
        </w:tc>
      </w:tr>
    </w:tbl>
    <w:p>
      <w:pPr>
        <w:pStyle w:val="Heading2"/>
      </w:pPr>
      <w:r>
        <w:rPr>
          <w:color w:val="000000"/>
        </w:rPr>
        <w:t>Antiemetic Drug Usage (Table 3)</w:t>
      </w:r>
    </w:p>
    <w:p>
      <w:r>
        <w:rPr>
          <w:sz w:val="20"/>
        </w:rPr>
        <w:t>The most commonly used antiemetic was metoclopramide (12.3% in singletons, 11.1% in twins), followed by droperidol (4.0% and 4.1%, respectively) (Table 3). Ondansetron use was significantly higher in twins (2.0% vs 0.9%, P = 0.041). Other antiemetic agents did not differ significantly between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Singleton</w:t>
            </w:r>
          </w:p>
        </w:tc>
        <w:tc>
          <w:tcPr>
            <w:tcW w:type="dxa" w:w="2160"/>
          </w:tcPr>
          <w:p>
            <w:r>
              <w:rPr>
                <w:b/>
                <w:sz w:val="18"/>
              </w:rPr>
              <w:t>Twin</w:t>
            </w:r>
          </w:p>
        </w:tc>
        <w:tc>
          <w:tcPr>
            <w:tcW w:type="dxa" w:w="2160"/>
          </w:tcPr>
          <w:p>
            <w:r>
              <w:rPr>
                <w:b/>
                <w:sz w:val="18"/>
              </w:rPr>
              <w:t>P-value</w:t>
            </w:r>
          </w:p>
        </w:tc>
      </w:tr>
      <w:tr>
        <w:tc>
          <w:tcPr>
            <w:tcW w:type="dxa" w:w="2160"/>
          </w:tcPr>
          <w:p>
            <w:r>
              <w:rPr>
                <w:sz w:val="18"/>
              </w:rPr>
              <w:t>Metoclopramide</w:t>
            </w:r>
          </w:p>
        </w:tc>
        <w:tc>
          <w:tcPr>
            <w:tcW w:type="dxa" w:w="2160"/>
          </w:tcPr>
          <w:p>
            <w:r>
              <w:rPr>
                <w:sz w:val="18"/>
              </w:rPr>
              <w:t>349 (12.3%)</w:t>
            </w:r>
          </w:p>
        </w:tc>
        <w:tc>
          <w:tcPr>
            <w:tcW w:type="dxa" w:w="2160"/>
          </w:tcPr>
          <w:p>
            <w:r>
              <w:rPr>
                <w:sz w:val="18"/>
              </w:rPr>
              <w:t>38 (11.1%)</w:t>
            </w:r>
          </w:p>
        </w:tc>
        <w:tc>
          <w:tcPr>
            <w:tcW w:type="dxa" w:w="2160"/>
          </w:tcPr>
          <w:p>
            <w:r>
              <w:rPr>
                <w:sz w:val="18"/>
              </w:rPr>
              <w:t>0.538</w:t>
            </w:r>
          </w:p>
        </w:tc>
      </w:tr>
      <w:tr>
        <w:tc>
          <w:tcPr>
            <w:tcW w:type="dxa" w:w="2160"/>
          </w:tcPr>
          <w:p>
            <w:r>
              <w:rPr>
                <w:sz w:val="18"/>
              </w:rPr>
              <w:t>Droperidol</w:t>
            </w:r>
          </w:p>
        </w:tc>
        <w:tc>
          <w:tcPr>
            <w:tcW w:type="dxa" w:w="2160"/>
          </w:tcPr>
          <w:p>
            <w:r>
              <w:rPr>
                <w:sz w:val="18"/>
              </w:rPr>
              <w:t>114 (4.0%)</w:t>
            </w:r>
          </w:p>
        </w:tc>
        <w:tc>
          <w:tcPr>
            <w:tcW w:type="dxa" w:w="2160"/>
          </w:tcPr>
          <w:p>
            <w:r>
              <w:rPr>
                <w:sz w:val="18"/>
              </w:rPr>
              <w:t>14 (4.1%)</w:t>
            </w:r>
          </w:p>
        </w:tc>
        <w:tc>
          <w:tcPr>
            <w:tcW w:type="dxa" w:w="2160"/>
          </w:tcPr>
          <w:p>
            <w:r>
              <w:rPr>
                <w:sz w:val="18"/>
              </w:rPr>
              <w:t>0.938</w:t>
            </w:r>
          </w:p>
        </w:tc>
      </w:tr>
      <w:tr>
        <w:tc>
          <w:tcPr>
            <w:tcW w:type="dxa" w:w="2160"/>
          </w:tcPr>
          <w:p>
            <w:r>
              <w:rPr>
                <w:sz w:val="18"/>
              </w:rPr>
              <w:t>Ondansetron</w:t>
            </w:r>
          </w:p>
        </w:tc>
        <w:tc>
          <w:tcPr>
            <w:tcW w:type="dxa" w:w="2160"/>
          </w:tcPr>
          <w:p>
            <w:r>
              <w:rPr>
                <w:sz w:val="18"/>
              </w:rPr>
              <w:t>25 (0.9%)</w:t>
            </w:r>
          </w:p>
        </w:tc>
        <w:tc>
          <w:tcPr>
            <w:tcW w:type="dxa" w:w="2160"/>
          </w:tcPr>
          <w:p>
            <w:r>
              <w:rPr>
                <w:sz w:val="18"/>
              </w:rPr>
              <w:t>7 (2.0%)</w:t>
            </w:r>
          </w:p>
        </w:tc>
        <w:tc>
          <w:tcPr>
            <w:tcW w:type="dxa" w:w="2160"/>
          </w:tcPr>
          <w:p>
            <w:r>
              <w:rPr>
                <w:sz w:val="18"/>
              </w:rPr>
              <w:t>0.041</w:t>
            </w:r>
          </w:p>
        </w:tc>
      </w:tr>
      <w:tr>
        <w:tc>
          <w:tcPr>
            <w:tcW w:type="dxa" w:w="2160"/>
          </w:tcPr>
          <w:p>
            <w:r>
              <w:rPr>
                <w:sz w:val="18"/>
              </w:rPr>
              <w:t>Granisetron</w:t>
            </w:r>
          </w:p>
        </w:tc>
        <w:tc>
          <w:tcPr>
            <w:tcW w:type="dxa" w:w="2160"/>
          </w:tcPr>
          <w:p>
            <w:r>
              <w:rPr>
                <w:sz w:val="18"/>
              </w:rPr>
              <w:t>0 (0.0%)</w:t>
            </w:r>
          </w:p>
        </w:tc>
        <w:tc>
          <w:tcPr>
            <w:tcW w:type="dxa" w:w="2160"/>
          </w:tcPr>
          <w:p>
            <w:r>
              <w:rPr>
                <w:sz w:val="18"/>
              </w:rPr>
              <w:t>1 (0.3%)</w:t>
            </w:r>
          </w:p>
        </w:tc>
        <w:tc>
          <w:tcPr>
            <w:tcW w:type="dxa" w:w="2160"/>
          </w:tcPr>
          <w:p>
            <w:r>
              <w:rPr>
                <w:sz w:val="18"/>
              </w:rPr>
              <w:t>0.107</w:t>
            </w:r>
          </w:p>
        </w:tc>
      </w:tr>
      <w:tr>
        <w:tc>
          <w:tcPr>
            <w:tcW w:type="dxa" w:w="2160"/>
          </w:tcPr>
          <w:p>
            <w:r>
              <w:rPr>
                <w:sz w:val="18"/>
              </w:rPr>
              <w:t>Prochlorperazine (Novamin)</w:t>
            </w:r>
          </w:p>
        </w:tc>
        <w:tc>
          <w:tcPr>
            <w:tcW w:type="dxa" w:w="2160"/>
          </w:tcPr>
          <w:p>
            <w:r>
              <w:rPr>
                <w:sz w:val="18"/>
              </w:rPr>
              <w:t>30 (1.1%)</w:t>
            </w:r>
          </w:p>
        </w:tc>
        <w:tc>
          <w:tcPr>
            <w:tcW w:type="dxa" w:w="2160"/>
          </w:tcPr>
          <w:p>
            <w:r>
              <w:rPr>
                <w:sz w:val="18"/>
              </w:rPr>
              <w:t>4 (1.2%)</w:t>
            </w:r>
          </w:p>
        </w:tc>
        <w:tc>
          <w:tcPr>
            <w:tcW w:type="dxa" w:w="2160"/>
          </w:tcPr>
          <w:p>
            <w:r>
              <w:rPr>
                <w:sz w:val="18"/>
              </w:rPr>
              <w:t>0.780</w:t>
            </w:r>
          </w:p>
        </w:tc>
      </w:tr>
      <w:tr>
        <w:tc>
          <w:tcPr>
            <w:tcW w:type="dxa" w:w="2160"/>
          </w:tcPr>
          <w:p>
            <w:r>
              <w:rPr>
                <w:sz w:val="18"/>
              </w:rPr>
              <w:t>Hydroxyzine (Atarax-P)</w:t>
            </w:r>
          </w:p>
        </w:tc>
        <w:tc>
          <w:tcPr>
            <w:tcW w:type="dxa" w:w="2160"/>
          </w:tcPr>
          <w:p>
            <w:r>
              <w:rPr>
                <w:sz w:val="18"/>
              </w:rPr>
              <w:t>16 (0.6%)</w:t>
            </w:r>
          </w:p>
        </w:tc>
        <w:tc>
          <w:tcPr>
            <w:tcW w:type="dxa" w:w="2160"/>
          </w:tcPr>
          <w:p>
            <w:r>
              <w:rPr>
                <w:sz w:val="18"/>
              </w:rPr>
              <w:t>3 (0.9%)</w:t>
            </w:r>
          </w:p>
        </w:tc>
        <w:tc>
          <w:tcPr>
            <w:tcW w:type="dxa" w:w="2160"/>
          </w:tcPr>
          <w:p>
            <w:r>
              <w:rPr>
                <w:sz w:val="18"/>
              </w:rPr>
              <w:t>0.449</w:t>
            </w:r>
          </w:p>
        </w:tc>
      </w:tr>
      <w:tr>
        <w:tc>
          <w:tcPr>
            <w:tcW w:type="dxa" w:w="2160"/>
          </w:tcPr>
          <w:p>
            <w:r>
              <w:rPr>
                <w:sz w:val="18"/>
              </w:rPr>
              <w:t>Dexamethasone</w:t>
            </w:r>
          </w:p>
        </w:tc>
        <w:tc>
          <w:tcPr>
            <w:tcW w:type="dxa" w:w="2160"/>
          </w:tcPr>
          <w:p>
            <w:r>
              <w:rPr>
                <w:sz w:val="18"/>
              </w:rPr>
              <w:t>2 (0.1%)</w:t>
            </w:r>
          </w:p>
        </w:tc>
        <w:tc>
          <w:tcPr>
            <w:tcW w:type="dxa" w:w="2160"/>
          </w:tcPr>
          <w:p>
            <w:r>
              <w:rPr>
                <w:sz w:val="18"/>
              </w:rPr>
              <w:t>0 (0.0%)</w:t>
            </w:r>
          </w:p>
        </w:tc>
        <w:tc>
          <w:tcPr>
            <w:tcW w:type="dxa" w:w="2160"/>
          </w:tcPr>
          <w:p>
            <w:r>
              <w:rPr>
                <w:sz w:val="18"/>
              </w:rPr>
              <w:t>1.000</w:t>
            </w:r>
          </w:p>
        </w:tc>
      </w:tr>
    </w:tbl>
    <w:p>
      <w:pPr>
        <w:pStyle w:val="Heading2"/>
      </w:pPr>
      <w:r>
        <w:rPr>
          <w:color w:val="000000"/>
        </w:rPr>
        <w:t>Multivariable Logistic Regression</w:t>
      </w:r>
    </w:p>
    <w:p>
      <w:r>
        <w:rPr>
          <w:sz w:val="20"/>
        </w:rPr>
        <w:t>In multivariable logistic regression (n = 3,153; 556 events), twin pregnancy was not independently associated with IONV (adjusted OR 0.92, 95% CI 0.67–1.27; P = 0.624) (Fig. 2, Table 4). Factors significantly associated with IONV were epidural anesthesia (OR 1.66, 95% CI 1.36–2.01; P &lt; 0.001), longer surgery time (OR 1.01 per minute, 95% CI 1.01–1.02; P &lt; 0.001), and prior cesarean section (OR 0.77, 95% CI 0.62–0.96; P = 0.021; protective).</w:t>
      </w:r>
    </w:p>
    <w:p/>
    <w:p>
      <w:pPr>
        <w:jc w:val="center"/>
      </w:pPr>
      <w:r>
        <w:drawing>
          <wp:inline xmlns:a="http://schemas.openxmlformats.org/drawingml/2006/main" xmlns:pic="http://schemas.openxmlformats.org/drawingml/2006/picture">
            <wp:extent cx="5029200" cy="2995507"/>
            <wp:docPr id="2" name="Picture 2"/>
            <wp:cNvGraphicFramePr>
              <a:graphicFrameLocks noChangeAspect="1"/>
            </wp:cNvGraphicFramePr>
            <a:graphic>
              <a:graphicData uri="http://schemas.openxmlformats.org/drawingml/2006/picture">
                <pic:pic>
                  <pic:nvPicPr>
                    <pic:cNvPr id="0" name="fig2_forest_primary.png"/>
                    <pic:cNvPicPr/>
                  </pic:nvPicPr>
                  <pic:blipFill>
                    <a:blip r:embed="rId10"/>
                    <a:stretch>
                      <a:fillRect/>
                    </a:stretch>
                  </pic:blipFill>
                  <pic:spPr>
                    <a:xfrm>
                      <a:off x="0" y="0"/>
                      <a:ext cx="5029200" cy="2995507"/>
                    </a:xfrm>
                    <a:prstGeom prst="rect"/>
                  </pic:spPr>
                </pic:pic>
              </a:graphicData>
            </a:graphic>
          </wp:inline>
        </w:drawing>
      </w:r>
    </w:p>
    <w:p>
      <w:pPr>
        <w:spacing w:before="240"/>
        <w:jc w:val="center"/>
      </w:pPr>
      <w:r>
        <w:rPr>
          <w:i/>
          <w:sz w:val="18"/>
        </w:rPr>
        <w:t>Figure 2. Forest plot: multivariable logistic regression for IONV (primary outcome).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Variable</w:t>
            </w:r>
          </w:p>
        </w:tc>
        <w:tc>
          <w:tcPr>
            <w:tcW w:type="dxa" w:w="1728"/>
          </w:tcPr>
          <w:p>
            <w:r>
              <w:rPr>
                <w:b/>
                <w:sz w:val="18"/>
              </w:rPr>
              <w:t>OR</w:t>
            </w:r>
          </w:p>
        </w:tc>
        <w:tc>
          <w:tcPr>
            <w:tcW w:type="dxa" w:w="1728"/>
          </w:tcPr>
          <w:p>
            <w:r>
              <w:rPr>
                <w:b/>
                <w:sz w:val="18"/>
              </w:rPr>
              <w:t>95% CI lower</w:t>
            </w:r>
          </w:p>
        </w:tc>
        <w:tc>
          <w:tcPr>
            <w:tcW w:type="dxa" w:w="1728"/>
          </w:tcPr>
          <w:p>
            <w:r>
              <w:rPr>
                <w:b/>
                <w:sz w:val="18"/>
              </w:rPr>
              <w:t>95% CI upper</w:t>
            </w:r>
          </w:p>
        </w:tc>
        <w:tc>
          <w:tcPr>
            <w:tcW w:type="dxa" w:w="1728"/>
          </w:tcPr>
          <w:p>
            <w:r>
              <w:rPr>
                <w:b/>
                <w:sz w:val="18"/>
              </w:rPr>
              <w:t>P-value</w:t>
            </w:r>
          </w:p>
        </w:tc>
      </w:tr>
      <w:tr>
        <w:tc>
          <w:tcPr>
            <w:tcW w:type="dxa" w:w="1728"/>
          </w:tcPr>
          <w:p>
            <w:r>
              <w:rPr>
                <w:sz w:val="18"/>
              </w:rPr>
              <w:t>twin</w:t>
            </w:r>
          </w:p>
        </w:tc>
        <w:tc>
          <w:tcPr>
            <w:tcW w:type="dxa" w:w="1728"/>
          </w:tcPr>
          <w:p>
            <w:r>
              <w:rPr>
                <w:sz w:val="18"/>
              </w:rPr>
              <w:t>0.92</w:t>
            </w:r>
          </w:p>
        </w:tc>
        <w:tc>
          <w:tcPr>
            <w:tcW w:type="dxa" w:w="1728"/>
          </w:tcPr>
          <w:p>
            <w:r>
              <w:rPr>
                <w:sz w:val="18"/>
              </w:rPr>
              <w:t>0.67</w:t>
            </w:r>
          </w:p>
        </w:tc>
        <w:tc>
          <w:tcPr>
            <w:tcW w:type="dxa" w:w="1728"/>
          </w:tcPr>
          <w:p>
            <w:r>
              <w:rPr>
                <w:sz w:val="18"/>
              </w:rPr>
              <w:t>1.27</w:t>
            </w:r>
          </w:p>
        </w:tc>
        <w:tc>
          <w:tcPr>
            <w:tcW w:type="dxa" w:w="1728"/>
          </w:tcPr>
          <w:p>
            <w:r>
              <w:rPr>
                <w:sz w:val="18"/>
              </w:rPr>
              <w:t>0.624</w:t>
            </w:r>
          </w:p>
        </w:tc>
      </w:tr>
      <w:tr>
        <w:tc>
          <w:tcPr>
            <w:tcW w:type="dxa" w:w="1728"/>
          </w:tcPr>
          <w:p>
            <w:r>
              <w:rPr>
                <w:sz w:val="18"/>
              </w:rPr>
              <w:t>年齢(歳)</w:t>
            </w:r>
          </w:p>
        </w:tc>
        <w:tc>
          <w:tcPr>
            <w:tcW w:type="dxa" w:w="1728"/>
          </w:tcPr>
          <w:p>
            <w:r>
              <w:rPr>
                <w:sz w:val="18"/>
              </w:rPr>
              <w:t>1.00</w:t>
            </w:r>
          </w:p>
        </w:tc>
        <w:tc>
          <w:tcPr>
            <w:tcW w:type="dxa" w:w="1728"/>
          </w:tcPr>
          <w:p>
            <w:r>
              <w:rPr>
                <w:sz w:val="18"/>
              </w:rPr>
              <w:t>0.98</w:t>
            </w:r>
          </w:p>
        </w:tc>
        <w:tc>
          <w:tcPr>
            <w:tcW w:type="dxa" w:w="1728"/>
          </w:tcPr>
          <w:p>
            <w:r>
              <w:rPr>
                <w:sz w:val="18"/>
              </w:rPr>
              <w:t>1.02</w:t>
            </w:r>
          </w:p>
        </w:tc>
        <w:tc>
          <w:tcPr>
            <w:tcW w:type="dxa" w:w="1728"/>
          </w:tcPr>
          <w:p>
            <w:r>
              <w:rPr>
                <w:sz w:val="18"/>
              </w:rPr>
              <w:t>0.873</w:t>
            </w:r>
          </w:p>
        </w:tc>
      </w:tr>
      <w:tr>
        <w:tc>
          <w:tcPr>
            <w:tcW w:type="dxa" w:w="1728"/>
          </w:tcPr>
          <w:p>
            <w:r>
              <w:rPr>
                <w:sz w:val="18"/>
              </w:rPr>
              <w:t>BMI</w:t>
            </w:r>
          </w:p>
        </w:tc>
        <w:tc>
          <w:tcPr>
            <w:tcW w:type="dxa" w:w="1728"/>
          </w:tcPr>
          <w:p>
            <w:r>
              <w:rPr>
                <w:sz w:val="18"/>
              </w:rPr>
              <w:t>1.00</w:t>
            </w:r>
          </w:p>
        </w:tc>
        <w:tc>
          <w:tcPr>
            <w:tcW w:type="dxa" w:w="1728"/>
          </w:tcPr>
          <w:p>
            <w:r>
              <w:rPr>
                <w:sz w:val="18"/>
              </w:rPr>
              <w:t>0.99</w:t>
            </w:r>
          </w:p>
        </w:tc>
        <w:tc>
          <w:tcPr>
            <w:tcW w:type="dxa" w:w="1728"/>
          </w:tcPr>
          <w:p>
            <w:r>
              <w:rPr>
                <w:sz w:val="18"/>
              </w:rPr>
              <w:t>1.01</w:t>
            </w:r>
          </w:p>
        </w:tc>
        <w:tc>
          <w:tcPr>
            <w:tcW w:type="dxa" w:w="1728"/>
          </w:tcPr>
          <w:p>
            <w:r>
              <w:rPr>
                <w:sz w:val="18"/>
              </w:rPr>
              <w:t>0.922</w:t>
            </w:r>
          </w:p>
        </w:tc>
      </w:tr>
      <w:tr>
        <w:tc>
          <w:tcPr>
            <w:tcW w:type="dxa" w:w="1728"/>
          </w:tcPr>
          <w:p>
            <w:r>
              <w:rPr>
                <w:sz w:val="18"/>
              </w:rPr>
              <w:t>GA_weeks</w:t>
            </w:r>
          </w:p>
        </w:tc>
        <w:tc>
          <w:tcPr>
            <w:tcW w:type="dxa" w:w="1728"/>
          </w:tcPr>
          <w:p>
            <w:r>
              <w:rPr>
                <w:sz w:val="18"/>
              </w:rPr>
              <w:t>0.99</w:t>
            </w:r>
          </w:p>
        </w:tc>
        <w:tc>
          <w:tcPr>
            <w:tcW w:type="dxa" w:w="1728"/>
          </w:tcPr>
          <w:p>
            <w:r>
              <w:rPr>
                <w:sz w:val="18"/>
              </w:rPr>
              <w:t>0.96</w:t>
            </w:r>
          </w:p>
        </w:tc>
        <w:tc>
          <w:tcPr>
            <w:tcW w:type="dxa" w:w="1728"/>
          </w:tcPr>
          <w:p>
            <w:r>
              <w:rPr>
                <w:sz w:val="18"/>
              </w:rPr>
              <w:t>1.02</w:t>
            </w:r>
          </w:p>
        </w:tc>
        <w:tc>
          <w:tcPr>
            <w:tcW w:type="dxa" w:w="1728"/>
          </w:tcPr>
          <w:p>
            <w:r>
              <w:rPr>
                <w:sz w:val="18"/>
              </w:rPr>
              <w:t>0.419</w:t>
            </w:r>
          </w:p>
        </w:tc>
      </w:tr>
      <w:tr>
        <w:tc>
          <w:tcPr>
            <w:tcW w:type="dxa" w:w="1728"/>
          </w:tcPr>
          <w:p>
            <w:r>
              <w:rPr>
                <w:sz w:val="18"/>
              </w:rPr>
              <w:t>emergency</w:t>
            </w:r>
          </w:p>
        </w:tc>
        <w:tc>
          <w:tcPr>
            <w:tcW w:type="dxa" w:w="1728"/>
          </w:tcPr>
          <w:p>
            <w:r>
              <w:rPr>
                <w:sz w:val="18"/>
              </w:rPr>
              <w:t>0.92</w:t>
            </w:r>
          </w:p>
        </w:tc>
        <w:tc>
          <w:tcPr>
            <w:tcW w:type="dxa" w:w="1728"/>
          </w:tcPr>
          <w:p>
            <w:r>
              <w:rPr>
                <w:sz w:val="18"/>
              </w:rPr>
              <w:t>0.74</w:t>
            </w:r>
          </w:p>
        </w:tc>
        <w:tc>
          <w:tcPr>
            <w:tcW w:type="dxa" w:w="1728"/>
          </w:tcPr>
          <w:p>
            <w:r>
              <w:rPr>
                <w:sz w:val="18"/>
              </w:rPr>
              <w:t>1.15</w:t>
            </w:r>
          </w:p>
        </w:tc>
        <w:tc>
          <w:tcPr>
            <w:tcW w:type="dxa" w:w="1728"/>
          </w:tcPr>
          <w:p>
            <w:r>
              <w:rPr>
                <w:sz w:val="18"/>
              </w:rPr>
              <w:t>0.486</w:t>
            </w:r>
          </w:p>
        </w:tc>
      </w:tr>
      <w:tr>
        <w:tc>
          <w:tcPr>
            <w:tcW w:type="dxa" w:w="1728"/>
          </w:tcPr>
          <w:p>
            <w:r>
              <w:rPr>
                <w:sz w:val="18"/>
              </w:rPr>
              <w:t>prior_cs</w:t>
            </w:r>
          </w:p>
        </w:tc>
        <w:tc>
          <w:tcPr>
            <w:tcW w:type="dxa" w:w="1728"/>
          </w:tcPr>
          <w:p>
            <w:r>
              <w:rPr>
                <w:sz w:val="18"/>
              </w:rPr>
              <w:t>0.77</w:t>
            </w:r>
          </w:p>
        </w:tc>
        <w:tc>
          <w:tcPr>
            <w:tcW w:type="dxa" w:w="1728"/>
          </w:tcPr>
          <w:p>
            <w:r>
              <w:rPr>
                <w:sz w:val="18"/>
              </w:rPr>
              <w:t>0.62</w:t>
            </w:r>
          </w:p>
        </w:tc>
        <w:tc>
          <w:tcPr>
            <w:tcW w:type="dxa" w:w="1728"/>
          </w:tcPr>
          <w:p>
            <w:r>
              <w:rPr>
                <w:sz w:val="18"/>
              </w:rPr>
              <w:t>0.96</w:t>
            </w:r>
          </w:p>
        </w:tc>
        <w:tc>
          <w:tcPr>
            <w:tcW w:type="dxa" w:w="1728"/>
          </w:tcPr>
          <w:p>
            <w:r>
              <w:rPr>
                <w:sz w:val="18"/>
              </w:rPr>
              <w:t>0.021</w:t>
            </w:r>
          </w:p>
        </w:tc>
      </w:tr>
      <w:tr>
        <w:tc>
          <w:tcPr>
            <w:tcW w:type="dxa" w:w="1728"/>
          </w:tcPr>
          <w:p>
            <w:r>
              <w:rPr>
                <w:sz w:val="18"/>
              </w:rPr>
              <w:t>HDP</w:t>
            </w:r>
          </w:p>
        </w:tc>
        <w:tc>
          <w:tcPr>
            <w:tcW w:type="dxa" w:w="1728"/>
          </w:tcPr>
          <w:p>
            <w:r>
              <w:rPr>
                <w:sz w:val="18"/>
              </w:rPr>
              <w:t>1.19</w:t>
            </w:r>
          </w:p>
        </w:tc>
        <w:tc>
          <w:tcPr>
            <w:tcW w:type="dxa" w:w="1728"/>
          </w:tcPr>
          <w:p>
            <w:r>
              <w:rPr>
                <w:sz w:val="18"/>
              </w:rPr>
              <w:t>0.87</w:t>
            </w:r>
          </w:p>
        </w:tc>
        <w:tc>
          <w:tcPr>
            <w:tcW w:type="dxa" w:w="1728"/>
          </w:tcPr>
          <w:p>
            <w:r>
              <w:rPr>
                <w:sz w:val="18"/>
              </w:rPr>
              <w:t>1.63</w:t>
            </w:r>
          </w:p>
        </w:tc>
        <w:tc>
          <w:tcPr>
            <w:tcW w:type="dxa" w:w="1728"/>
          </w:tcPr>
          <w:p>
            <w:r>
              <w:rPr>
                <w:sz w:val="18"/>
              </w:rPr>
              <w:t>0.275</w:t>
            </w:r>
          </w:p>
        </w:tc>
      </w:tr>
      <w:tr>
        <w:tc>
          <w:tcPr>
            <w:tcW w:type="dxa" w:w="1728"/>
          </w:tcPr>
          <w:p>
            <w:r>
              <w:rPr>
                <w:sz w:val="18"/>
              </w:rPr>
              <w:t>epidural</w:t>
            </w:r>
          </w:p>
        </w:tc>
        <w:tc>
          <w:tcPr>
            <w:tcW w:type="dxa" w:w="1728"/>
          </w:tcPr>
          <w:p>
            <w:r>
              <w:rPr>
                <w:sz w:val="18"/>
              </w:rPr>
              <w:t>1.66</w:t>
            </w:r>
          </w:p>
        </w:tc>
        <w:tc>
          <w:tcPr>
            <w:tcW w:type="dxa" w:w="1728"/>
          </w:tcPr>
          <w:p>
            <w:r>
              <w:rPr>
                <w:sz w:val="18"/>
              </w:rPr>
              <w:t>1.36</w:t>
            </w:r>
          </w:p>
        </w:tc>
        <w:tc>
          <w:tcPr>
            <w:tcW w:type="dxa" w:w="1728"/>
          </w:tcPr>
          <w:p>
            <w:r>
              <w:rPr>
                <w:sz w:val="18"/>
              </w:rPr>
              <w:t>2.01</w:t>
            </w:r>
          </w:p>
        </w:tc>
        <w:tc>
          <w:tcPr>
            <w:tcW w:type="dxa" w:w="1728"/>
          </w:tcPr>
          <w:p>
            <w:r>
              <w:rPr>
                <w:sz w:val="18"/>
              </w:rPr>
              <w:t>&lt; 0.001</w:t>
            </w:r>
          </w:p>
        </w:tc>
      </w:tr>
      <w:tr>
        <w:tc>
          <w:tcPr>
            <w:tcW w:type="dxa" w:w="1728"/>
          </w:tcPr>
          <w:p>
            <w:r>
              <w:rPr>
                <w:sz w:val="18"/>
              </w:rPr>
              <w:t>手術時間_min</w:t>
            </w:r>
          </w:p>
        </w:tc>
        <w:tc>
          <w:tcPr>
            <w:tcW w:type="dxa" w:w="1728"/>
          </w:tcPr>
          <w:p>
            <w:r>
              <w:rPr>
                <w:sz w:val="18"/>
              </w:rPr>
              <w:t>1.01</w:t>
            </w:r>
          </w:p>
        </w:tc>
        <w:tc>
          <w:tcPr>
            <w:tcW w:type="dxa" w:w="1728"/>
          </w:tcPr>
          <w:p>
            <w:r>
              <w:rPr>
                <w:sz w:val="18"/>
              </w:rPr>
              <w:t>1.01</w:t>
            </w:r>
          </w:p>
        </w:tc>
        <w:tc>
          <w:tcPr>
            <w:tcW w:type="dxa" w:w="1728"/>
          </w:tcPr>
          <w:p>
            <w:r>
              <w:rPr>
                <w:sz w:val="18"/>
              </w:rPr>
              <w:t>1.02</w:t>
            </w:r>
          </w:p>
        </w:tc>
        <w:tc>
          <w:tcPr>
            <w:tcW w:type="dxa" w:w="1728"/>
          </w:tcPr>
          <w:p>
            <w:r>
              <w:rPr>
                <w:sz w:val="18"/>
              </w:rPr>
              <w:t>&lt; 0.001</w:t>
            </w:r>
          </w:p>
        </w:tc>
      </w:tr>
      <w:tr>
        <w:tc>
          <w:tcPr>
            <w:tcW w:type="dxa" w:w="1728"/>
          </w:tcPr>
          <w:p>
            <w:r>
              <w:rPr>
                <w:sz w:val="18"/>
              </w:rPr>
              <w:t>hypotension</w:t>
            </w:r>
          </w:p>
        </w:tc>
        <w:tc>
          <w:tcPr>
            <w:tcW w:type="dxa" w:w="1728"/>
          </w:tcPr>
          <w:p>
            <w:r>
              <w:rPr>
                <w:sz w:val="18"/>
              </w:rPr>
              <w:t>1.13</w:t>
            </w:r>
          </w:p>
        </w:tc>
        <w:tc>
          <w:tcPr>
            <w:tcW w:type="dxa" w:w="1728"/>
          </w:tcPr>
          <w:p>
            <w:r>
              <w:rPr>
                <w:sz w:val="18"/>
              </w:rPr>
              <w:t>0.94</w:t>
            </w:r>
          </w:p>
        </w:tc>
        <w:tc>
          <w:tcPr>
            <w:tcW w:type="dxa" w:w="1728"/>
          </w:tcPr>
          <w:p>
            <w:r>
              <w:rPr>
                <w:sz w:val="18"/>
              </w:rPr>
              <w:t>1.37</w:t>
            </w:r>
          </w:p>
        </w:tc>
        <w:tc>
          <w:tcPr>
            <w:tcW w:type="dxa" w:w="1728"/>
          </w:tcPr>
          <w:p>
            <w:r>
              <w:rPr>
                <w:sz w:val="18"/>
              </w:rPr>
              <w:t>0.204</w:t>
            </w:r>
          </w:p>
        </w:tc>
      </w:tr>
    </w:tbl>
    <w:p>
      <w:r>
        <w:rPr>
          <w:sz w:val="20"/>
        </w:rPr>
        <w:t>For the secondary outcome (IONV before delivery; n = 3,153, 58 events), twin pregnancy was likewise not significantly associated (adjusted OR 0.82, 95% CI 0.31–2.15; P = 0.683) (Fig. 3, Table 5).</w:t>
      </w:r>
    </w:p>
    <w:p/>
    <w:p>
      <w:pPr>
        <w:jc w:val="center"/>
      </w:pPr>
      <w:r>
        <w:drawing>
          <wp:inline xmlns:a="http://schemas.openxmlformats.org/drawingml/2006/main" xmlns:pic="http://schemas.openxmlformats.org/drawingml/2006/picture">
            <wp:extent cx="5029200" cy="2995507"/>
            <wp:docPr id="3" name="Picture 3"/>
            <wp:cNvGraphicFramePr>
              <a:graphicFrameLocks noChangeAspect="1"/>
            </wp:cNvGraphicFramePr>
            <a:graphic>
              <a:graphicData uri="http://schemas.openxmlformats.org/drawingml/2006/picture">
                <pic:pic>
                  <pic:nvPicPr>
                    <pic:cNvPr id="0" name="fig3_forest_secondary.png"/>
                    <pic:cNvPicPr/>
                  </pic:nvPicPr>
                  <pic:blipFill>
                    <a:blip r:embed="rId11"/>
                    <a:stretch>
                      <a:fillRect/>
                    </a:stretch>
                  </pic:blipFill>
                  <pic:spPr>
                    <a:xfrm>
                      <a:off x="0" y="0"/>
                      <a:ext cx="5029200" cy="2995507"/>
                    </a:xfrm>
                    <a:prstGeom prst="rect"/>
                  </pic:spPr>
                </pic:pic>
              </a:graphicData>
            </a:graphic>
          </wp:inline>
        </w:drawing>
      </w:r>
    </w:p>
    <w:p>
      <w:pPr>
        <w:spacing w:before="240"/>
        <w:jc w:val="center"/>
      </w:pPr>
      <w:r>
        <w:rPr>
          <w:i/>
          <w:sz w:val="18"/>
        </w:rPr>
        <w:t>Figure 3. Forest plot: multivariable logistic regression for IONV (secondary outcome).</w:t>
      </w:r>
    </w:p>
    <w:p>
      <w:pPr>
        <w:pStyle w:val="Heading2"/>
      </w:pPr>
      <w:r>
        <w:rPr>
          <w:color w:val="000000"/>
        </w:rPr>
        <w:t>IONV Timing Distribution</w:t>
      </w:r>
    </w:p>
    <w:p>
      <w:r>
        <w:rPr>
          <w:sz w:val="20"/>
        </w:rPr>
        <w:t>The majority of IONV events occurred in the post-delivery phase (delivery to operating room exit), with comparable rates between singletons (16.0%) and twins (15.8%) (Fig. 4). IONV during the anesthesia-to-delivery phase was infrequent in both groups (1.9% vs 1.5%).</w:t>
      </w:r>
    </w:p>
    <w:p/>
    <w:p>
      <w:pPr>
        <w:jc w:val="center"/>
      </w:pPr>
      <w:r>
        <w:drawing>
          <wp:inline xmlns:a="http://schemas.openxmlformats.org/drawingml/2006/main" xmlns:pic="http://schemas.openxmlformats.org/drawingml/2006/picture">
            <wp:extent cx="4572000" cy="2835797"/>
            <wp:docPr id="4" name="Picture 4"/>
            <wp:cNvGraphicFramePr>
              <a:graphicFrameLocks noChangeAspect="1"/>
            </wp:cNvGraphicFramePr>
            <a:graphic>
              <a:graphicData uri="http://schemas.openxmlformats.org/drawingml/2006/picture">
                <pic:pic>
                  <pic:nvPicPr>
                    <pic:cNvPr id="0" name="fig4_ionv_timing.png"/>
                    <pic:cNvPicPr/>
                  </pic:nvPicPr>
                  <pic:blipFill>
                    <a:blip r:embed="rId12"/>
                    <a:stretch>
                      <a:fillRect/>
                    </a:stretch>
                  </pic:blipFill>
                  <pic:spPr>
                    <a:xfrm>
                      <a:off x="0" y="0"/>
                      <a:ext cx="4572000" cy="2835797"/>
                    </a:xfrm>
                    <a:prstGeom prst="rect"/>
                  </pic:spPr>
                </pic:pic>
              </a:graphicData>
            </a:graphic>
          </wp:inline>
        </w:drawing>
      </w:r>
    </w:p>
    <w:p>
      <w:pPr>
        <w:spacing w:before="240"/>
        <w:jc w:val="center"/>
      </w:pPr>
      <w:r>
        <w:rPr>
          <w:i/>
          <w:sz w:val="18"/>
        </w:rPr>
        <w:t>Figure 4. IONV rates by timing phase.</w:t>
      </w:r>
    </w:p>
    <w:p>
      <w:pPr>
        <w:pStyle w:val="Heading2"/>
      </w:pPr>
      <w:r>
        <w:rPr>
          <w:color w:val="000000"/>
        </w:rPr>
        <w:t>Temporal Trends</w:t>
      </w:r>
    </w:p>
    <w:p>
      <w:r>
        <w:rPr>
          <w:sz w:val="20"/>
        </w:rPr>
        <w:t>Temporal trends of IONV rates are shown in Figure 5. IONV rates remained relatively stable over the study period in both groups, without a clear upward or downward trend.</w:t>
      </w:r>
    </w:p>
    <w:p/>
    <w:p>
      <w:pPr>
        <w:jc w:val="center"/>
      </w:pPr>
      <w:r>
        <w:drawing>
          <wp:inline xmlns:a="http://schemas.openxmlformats.org/drawingml/2006/main" xmlns:pic="http://schemas.openxmlformats.org/drawingml/2006/picture">
            <wp:extent cx="4572000" cy="2262909"/>
            <wp:docPr id="5" name="Picture 5"/>
            <wp:cNvGraphicFramePr>
              <a:graphicFrameLocks noChangeAspect="1"/>
            </wp:cNvGraphicFramePr>
            <a:graphic>
              <a:graphicData uri="http://schemas.openxmlformats.org/drawingml/2006/picture">
                <pic:pic>
                  <pic:nvPicPr>
                    <pic:cNvPr id="0" name="fig5_temporal_trend.png"/>
                    <pic:cNvPicPr/>
                  </pic:nvPicPr>
                  <pic:blipFill>
                    <a:blip r:embed="rId13"/>
                    <a:stretch>
                      <a:fillRect/>
                    </a:stretch>
                  </pic:blipFill>
                  <pic:spPr>
                    <a:xfrm>
                      <a:off x="0" y="0"/>
                      <a:ext cx="4572000" cy="2262909"/>
                    </a:xfrm>
                    <a:prstGeom prst="rect"/>
                  </pic:spPr>
                </pic:pic>
              </a:graphicData>
            </a:graphic>
          </wp:inline>
        </w:drawing>
      </w:r>
    </w:p>
    <w:p>
      <w:pPr>
        <w:spacing w:before="240"/>
        <w:jc w:val="center"/>
      </w:pPr>
      <w:r>
        <w:rPr>
          <w:i/>
          <w:sz w:val="18"/>
        </w:rPr>
        <w:t>Figure 5. Temporal trend of IONV rates by year.</w:t>
      </w:r>
    </w:p>
    <w:p/>
    <w:p>
      <w:pPr>
        <w:jc w:val="center"/>
      </w:pPr>
      <w:r>
        <w:drawing>
          <wp:inline xmlns:a="http://schemas.openxmlformats.org/drawingml/2006/main" xmlns:pic="http://schemas.openxmlformats.org/drawingml/2006/picture">
            <wp:extent cx="4572000" cy="2263671"/>
            <wp:docPr id="6" name="Picture 6"/>
            <wp:cNvGraphicFramePr>
              <a:graphicFrameLocks noChangeAspect="1"/>
            </wp:cNvGraphicFramePr>
            <a:graphic>
              <a:graphicData uri="http://schemas.openxmlformats.org/drawingml/2006/picture">
                <pic:pic>
                  <pic:nvPicPr>
                    <pic:cNvPr id="0" name="fig6_antiemetic_drugs.png"/>
                    <pic:cNvPicPr/>
                  </pic:nvPicPr>
                  <pic:blipFill>
                    <a:blip r:embed="rId14"/>
                    <a:stretch>
                      <a:fillRect/>
                    </a:stretch>
                  </pic:blipFill>
                  <pic:spPr>
                    <a:xfrm>
                      <a:off x="0" y="0"/>
                      <a:ext cx="4572000" cy="2263671"/>
                    </a:xfrm>
                    <a:prstGeom prst="rect"/>
                  </pic:spPr>
                </pic:pic>
              </a:graphicData>
            </a:graphic>
          </wp:inline>
        </w:drawing>
      </w:r>
    </w:p>
    <w:p>
      <w:pPr>
        <w:spacing w:before="240"/>
        <w:jc w:val="center"/>
      </w:pPr>
      <w:r>
        <w:rPr>
          <w:i/>
          <w:sz w:val="18"/>
        </w:rPr>
        <w:t>Figure 6. Antiemetic drug usage comparison: Singleton vs Twin.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