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</w:rPr>
        <w:t>STROBE Statement—Checklist of Items for Cross-Sectional Studies</w:t>
      </w:r>
    </w:p>
    <w:p>
      <w:r>
        <w:rPr>
          <w:i/>
        </w:rPr>
        <w:t>Combined with RECORD extension items for routinely collected health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984"/>
          </w:tcPr>
          <w:p>
            <w:r>
              <w:rPr>
                <w:b/>
                <w:sz w:val="16"/>
              </w:rPr>
              <w:t>Section/Topic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Item No.</w:t>
            </w:r>
          </w:p>
        </w:tc>
        <w:tc>
          <w:tcPr>
            <w:tcW w:type="dxa" w:w="7937"/>
          </w:tcPr>
          <w:p>
            <w:r>
              <w:rPr>
                <w:b/>
                <w:sz w:val="16"/>
              </w:rPr>
              <w:t>STROBE Recommendation</w:t>
            </w:r>
          </w:p>
        </w:tc>
        <w:tc>
          <w:tcPr>
            <w:tcW w:type="dxa" w:w="4252"/>
          </w:tcPr>
          <w:p>
            <w:r>
              <w:rPr>
                <w:b/>
                <w:sz w:val="16"/>
              </w:rPr>
              <w:t>Reported on page/section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Title and abstract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(a) Indicate the study’s design with a commonly used term in the title or the abstract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Title: "An Ecological Study"; Abstract: "ecological study"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(b) Provide in the abstract an informative and balanced summary of what was done and what was found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Abstract (Background, Methods, Results, Conclusions)</w:t>
            </w:r>
          </w:p>
        </w:tc>
      </w:tr>
      <w:tr>
        <w:tc>
          <w:tcPr>
            <w:tcW w:type="dxa" w:w="3784"/>
          </w:tcPr>
          <w:p>
            <w:r>
              <w:rPr>
                <w:b/>
                <w:sz w:val="16"/>
              </w:rPr>
              <w:t>Introduction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sz w:val="16"/>
              </w:rPr>
              <w:t>Background/rationale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Introduction, paragraphs 1–3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Objectives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Introduction, paragraph 5 (4 objectives including demand–supply dissociation)</w:t>
            </w:r>
          </w:p>
        </w:tc>
      </w:tr>
      <w:tr>
        <w:tc>
          <w:tcPr>
            <w:tcW w:type="dxa" w:w="3784"/>
          </w:tcPr>
          <w:p>
            <w:r>
              <w:rPr>
                <w:b/>
                <w:sz w:val="16"/>
              </w:rPr>
              <w:t>Methods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sz w:val="16"/>
              </w:rPr>
              <w:t>Study design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"Study design and reporting"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Setting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"Data source" (April 2023–March 2024)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Give the eligibility criteria, and the sources and methods of selection of participants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"Data source" (NDB captures all insured individuals)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Variables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"Phase 1," "Phase 2," "Confounder disease proxies"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Data sources/measurement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For each variable of interest, give sources of data and details of methods of assessment (measurement)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"Phase 1," "Phase 2" (specific drug codes and formulation counts); "Demand-side benchmark: CSLC"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Bias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"Confounder disease proxies"; Discussion, "Strengths and limitations"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Study size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"Data source" (population-complete; n=47 prefectures)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Quantitative variables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"Statistical analysis" (SCR, regression models)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(a) Describe all statistical methods, including those used to control for confounding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"Statistical analysis" (Kruskal–Wallis, Mann–Whitney, regression Models 1–5, SCR)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(b) Describe any methods used to examine subgroups and interactions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Methods, "Phase 1" (sub-analyses by drug class)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(c) Explain how missing data were addressed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NDB suppresses cells &lt;10 events; no individual-level missing data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(d) If applicable, describe analytical methods taking account of sampling strategy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N/A (population-complete data, not sampled)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(e) Describe any sensitivity analyses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Models 2–5 represent progressive confounder adjustment (sensitivity)</w:t>
            </w:r>
          </w:p>
        </w:tc>
      </w:tr>
      <w:tr>
        <w:tc>
          <w:tcPr>
            <w:tcW w:type="dxa" w:w="3784"/>
          </w:tcPr>
          <w:p>
            <w:r>
              <w:rPr>
                <w:b/>
                <w:sz w:val="16"/>
              </w:rPr>
              <w:t>Results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Report numbers of individuals at each stage of study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Results, Phase 1 paragraph (7,903,515 surgeries; 274,579,851 prescription units)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Descriptive data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(a) Give characteristics of study participants and information on exposures and potential confounders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Results, Table 1 (regional summary); confounder correlations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(b) Indicate number of participants with missing data for each variable of interest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N/A (aggregate data; cells &lt;10 suppressed by source)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Outcome data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Results, Phase 1 and Phase 2 paragraphs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Main results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(a) Give unadjusted estimates and, if applicable, confounder-adjusted estimates and their precision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Results, Table 2 (Models 1–5 with β coefficients and P values); confounder r values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(b) Report category boundaries when continuous variables were categorized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Nine regional blocks defined in Methods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(c) If relevant, consider translating estimates of relative risk into absolute risk for a meaningful time period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N/A (ecological indices, not individual risk)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Other analyses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Report other analyses done—e.g., analyses of subgroups and interactions, and sensitivity analyses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Results, "Age-sex standardised claim ratios"; "Demand–supply dissociation"; "Integration of acute and chronic prescribing"</w:t>
            </w:r>
          </w:p>
        </w:tc>
      </w:tr>
      <w:tr>
        <w:tc>
          <w:tcPr>
            <w:tcW w:type="dxa" w:w="3784"/>
          </w:tcPr>
          <w:p>
            <w:r>
              <w:rPr>
                <w:b/>
                <w:sz w:val="16"/>
              </w:rPr>
              <w:t>Discussion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sz w:val="16"/>
              </w:rPr>
              <w:t>Key results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Summarise key results with reference to study objectives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Discussion, "Principal findings" paragraphs 1–4 (including CSLC dissociation)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Limitations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 limitations of the study, taking into account sources of potential bias or imprecision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Discussion, "Strengths and limitations"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Interpretation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Discussion, "Clinical implications"</w:t>
            </w:r>
          </w:p>
        </w:tc>
      </w:tr>
      <w:tr>
        <w:tc>
          <w:tcPr>
            <w:tcW w:type="dxa" w:w="3784"/>
          </w:tcPr>
          <w:p>
            <w:r>
              <w:rPr>
                <w:sz w:val="16"/>
              </w:rPr>
              <w:t>Generalisability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 the generalisability (external validity) of the study results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Discussion, "Clinical implications" (international parallels)</w:t>
            </w:r>
          </w:p>
        </w:tc>
      </w:tr>
      <w:tr>
        <w:tc>
          <w:tcPr>
            <w:tcW w:type="dxa" w:w="3784"/>
          </w:tcPr>
          <w:p>
            <w:r>
              <w:rPr>
                <w:b/>
                <w:sz w:val="16"/>
              </w:rPr>
              <w:t>Other information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>
                <w:sz w:val="16"/>
              </w:rPr>
              <w:t>Funding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Give the source of funding and the role of the funders for the present study and, if applicable, for the original study on which the present article is based</w:t>
            </w:r>
          </w:p>
        </w:tc>
        <w:tc>
          <w:tcPr>
            <w:tcW w:type="dxa" w:w="3784"/>
          </w:tcPr>
          <w:p>
            <w:r>
              <w:rPr>
                <w:sz w:val="16"/>
              </w:rPr>
              <w:t>Funding section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