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val="0"/>
          <w:i w:val="0"/>
          <w:sz w:val="22"/>
        </w:rPr>
        <w:t>[Date]</w:t>
      </w:r>
    </w:p>
    <w:p>
      <w:pPr>
        <w:spacing w:after="120"/>
      </w:pPr>
      <w:r>
        <w:rPr>
          <w:rFonts w:ascii="Times New Roman" w:hAnsi="Times New Roman"/>
          <w:b w:val="0"/>
          <w:i w:val="0"/>
          <w:sz w:val="22"/>
        </w:rPr>
        <w:t>Editor-in-Chief</w:t>
      </w:r>
    </w:p>
    <w:p>
      <w:pPr>
        <w:spacing w:after="120"/>
      </w:pPr>
      <w:r>
        <w:rPr>
          <w:rFonts w:ascii="Times New Roman" w:hAnsi="Times New Roman"/>
          <w:b w:val="0"/>
          <w:i/>
          <w:sz w:val="22"/>
        </w:rPr>
        <w:t>Physiological Measurement</w:t>
      </w:r>
    </w:p>
    <w:p>
      <w:pPr>
        <w:spacing w:after="240"/>
      </w:pPr>
      <w:r>
        <w:rPr>
          <w:rFonts w:ascii="Times New Roman" w:hAnsi="Times New Roman"/>
          <w:b w:val="0"/>
          <w:i w:val="0"/>
          <w:sz w:val="22"/>
        </w:rPr>
        <w:t>IOP Publishing</w:t>
      </w:r>
    </w:p>
    <w:p>
      <w:pPr>
        <w:spacing w:after="240"/>
      </w:pPr>
      <w:r>
        <w:rPr>
          <w:rFonts w:ascii="Times New Roman" w:hAnsi="Times New Roman"/>
          <w:b w:val="0"/>
          <w:i w:val="0"/>
          <w:sz w:val="22"/>
        </w:rPr>
        <w:t>Dear Editor,</w:t>
      </w:r>
    </w:p>
    <w:p>
      <w:pPr>
        <w:spacing w:after="240"/>
      </w:pPr>
      <w:r>
        <w:rPr>
          <w:rFonts w:ascii="Times New Roman" w:hAnsi="Times New Roman"/>
          <w:sz w:val="22"/>
        </w:rPr>
        <w:t xml:space="preserve">We are pleased to submit our manuscript entitled </w:t>
      </w:r>
      <w:r>
        <w:rPr>
          <w:rFonts w:ascii="Times New Roman" w:hAnsi="Times New Roman"/>
          <w:b/>
          <w:sz w:val="22"/>
        </w:rPr>
        <w:t>"Concordance Correlation Coefficient Decomposition Reveals That Zero Calibration Corrects Offset but Not Gain: A Simulation-Based Framework for Arterial Pressure Monitor Validation"</w:t>
      </w:r>
      <w:r>
        <w:rPr>
          <w:rFonts w:ascii="Times New Roman" w:hAnsi="Times New Roman"/>
          <w:sz w:val="22"/>
        </w:rPr>
        <w:t xml:space="preserve"> for consideration as a Research Paper in </w:t>
      </w:r>
      <w:r>
        <w:rPr>
          <w:rFonts w:ascii="Times New Roman" w:hAnsi="Times New Roman"/>
          <w:i/>
          <w:sz w:val="22"/>
        </w:rPr>
        <w:t>Physiological Measurement</w:t>
      </w:r>
      <w:r>
        <w:rPr>
          <w:rFonts w:ascii="Times New Roman" w:hAnsi="Times New Roman"/>
          <w:sz w:val="22"/>
        </w:rPr>
        <w:t>.</w:t>
      </w:r>
    </w:p>
    <w:p>
      <w:pPr>
        <w:spacing w:after="80"/>
      </w:pPr>
      <w:r>
        <w:rPr>
          <w:rFonts w:ascii="Times New Roman" w:hAnsi="Times New Roman"/>
          <w:b/>
          <w:i w:val="0"/>
          <w:sz w:val="22"/>
        </w:rPr>
        <w:t>Summary</w:t>
      </w:r>
    </w:p>
    <w:p>
      <w:pPr>
        <w:spacing w:after="240"/>
      </w:pPr>
      <w:r>
        <w:rPr>
          <w:rFonts w:ascii="Times New Roman" w:hAnsi="Times New Roman"/>
          <w:b w:val="0"/>
          <w:i w:val="0"/>
          <w:sz w:val="22"/>
        </w:rPr>
        <w:t>This manuscript presents a simulation-based framework demonstrating that zero calibration of invasive arterial pressure transducers corrects only the offset component (location shift, u) while leaving gain errors (scale shift, v) undetected. Using Lin’s concordance correlation coefficient (CCC) decomposition into precision (r) and accuracy (C₂), we show that Bland–Altman analysis alone cannot distinguish true agreement from apparent agreement caused by offsetting gain errors. We further identify three engineering solutions — catheter-tip MEMS sensors, barometric compensation, and self-calibrating MEMS — that eliminate all sources of DC offset by design, rendering manual zero calibration redundant.</w:t>
      </w:r>
    </w:p>
    <w:p>
      <w:pPr>
        <w:spacing w:after="80"/>
      </w:pPr>
      <w:r>
        <w:rPr>
          <w:rFonts w:ascii="Times New Roman" w:hAnsi="Times New Roman"/>
          <w:b/>
          <w:i w:val="0"/>
          <w:sz w:val="22"/>
        </w:rPr>
        <w:t>Relevance to Physiological Measurement</w:t>
      </w:r>
    </w:p>
    <w:p>
      <w:pPr>
        <w:spacing w:after="120"/>
      </w:pPr>
      <w:r>
        <w:rPr>
          <w:rFonts w:ascii="Times New Roman" w:hAnsi="Times New Roman"/>
          <w:b w:val="0"/>
          <w:i w:val="0"/>
          <w:sz w:val="22"/>
        </w:rPr>
        <w:t>We believe this work is well suited to Physiological Measurement for the following reasons:</w:t>
      </w:r>
    </w:p>
    <w:p>
      <w:pPr>
        <w:spacing w:after="120"/>
      </w:pPr>
      <w:r>
        <w:rPr>
          <w:rFonts w:ascii="Times New Roman" w:hAnsi="Times New Roman"/>
          <w:b w:val="0"/>
          <w:i w:val="0"/>
          <w:sz w:val="22"/>
        </w:rPr>
        <w:t>1. Measurement methodology and validation: The manuscript directly addresses how physiological measurements are validated, proposing CCC decomposition as a complementary metric to Bland–Altman analysis — a topic central to the journal’s scope.</w:t>
      </w:r>
    </w:p>
    <w:p>
      <w:pPr>
        <w:spacing w:after="120"/>
      </w:pPr>
      <w:r>
        <w:rPr>
          <w:rFonts w:ascii="Times New Roman" w:hAnsi="Times New Roman"/>
          <w:b w:val="0"/>
          <w:i w:val="0"/>
          <w:sz w:val="22"/>
        </w:rPr>
        <w:t>2. Sensor design and engineering: We bridge clinical measurement practice with MEMS sensor engineering, identifying specific design targets (C₂ ≥ 0.99 without calibration) that can guide next-generation arterial pressure monitors.</w:t>
      </w:r>
    </w:p>
    <w:p>
      <w:pPr>
        <w:spacing w:after="120"/>
      </w:pPr>
      <w:r>
        <w:rPr>
          <w:rFonts w:ascii="Times New Roman" w:hAnsi="Times New Roman"/>
          <w:b w:val="0"/>
          <w:i w:val="0"/>
          <w:sz w:val="22"/>
        </w:rPr>
        <w:t>3. Quantitative framework: The CCC decomposition framework provides a rigorous, analytically grounded approach to understanding what calibration does — and does not — correct, with direct implications for regulatory validation of haemodynamic monitors.</w:t>
      </w:r>
    </w:p>
    <w:p>
      <w:pPr>
        <w:spacing w:after="240"/>
      </w:pPr>
      <w:r>
        <w:rPr>
          <w:rFonts w:ascii="Times New Roman" w:hAnsi="Times New Roman"/>
          <w:b w:val="0"/>
          <w:i w:val="0"/>
          <w:sz w:val="22"/>
        </w:rPr>
        <w:t>4. Broader applicability: The framework extends naturally to non-invasive cardiac output monitors (ClearSight, NICOM/Starling, FloTrac), offering a unified principle for evaluating calibration dependence across haemodynamic monitoring devices.</w:t>
      </w:r>
    </w:p>
    <w:p>
      <w:pPr>
        <w:spacing w:after="80"/>
      </w:pPr>
      <w:r>
        <w:rPr>
          <w:rFonts w:ascii="Times New Roman" w:hAnsi="Times New Roman"/>
          <w:b/>
          <w:i w:val="0"/>
          <w:sz w:val="22"/>
        </w:rPr>
        <w:t>Key Contributions</w:t>
      </w:r>
    </w:p>
    <w:p>
      <w:pPr>
        <w:spacing w:after="120"/>
      </w:pPr>
      <w:r>
        <w:rPr>
          <w:rFonts w:ascii="Times New Roman" w:hAnsi="Times New Roman"/>
          <w:b w:val="0"/>
          <w:i w:val="0"/>
          <w:sz w:val="22"/>
        </w:rPr>
        <w:t>• Analytical demonstration that zero calibration addresses only the location shift (u → 0) component of the bias correction coefficient, not the scale shift (v)</w:t>
      </w:r>
    </w:p>
    <w:p>
      <w:pPr>
        <w:spacing w:after="120"/>
      </w:pPr>
      <w:r>
        <w:rPr>
          <w:rFonts w:ascii="Times New Roman" w:hAnsi="Times New Roman"/>
          <w:b w:val="0"/>
          <w:i w:val="0"/>
          <w:sz w:val="22"/>
        </w:rPr>
        <w:t>• Simulation evidence that Bland–Altman analysis fails to detect gain errors masked by offset cancellation, while CCC decomposition clearly identifies them</w:t>
      </w:r>
    </w:p>
    <w:p>
      <w:pPr>
        <w:spacing w:after="120"/>
      </w:pPr>
      <w:r>
        <w:rPr>
          <w:rFonts w:ascii="Times New Roman" w:hAnsi="Times New Roman"/>
          <w:b w:val="0"/>
          <w:i w:val="0"/>
          <w:sz w:val="22"/>
        </w:rPr>
        <w:t>• Identification of a complete engineering pathway to calibration-free arterial pressure monitoring</w:t>
      </w:r>
    </w:p>
    <w:p>
      <w:pPr>
        <w:spacing w:after="240"/>
      </w:pPr>
      <w:r>
        <w:rPr>
          <w:rFonts w:ascii="Times New Roman" w:hAnsi="Times New Roman"/>
          <w:b w:val="0"/>
          <w:i w:val="0"/>
          <w:sz w:val="22"/>
        </w:rPr>
        <w:t>• Proposal for reporting CCC with r/C₂ decomposition and pre-/post-calibration C₂ in all arterial pressure validation studies</w:t>
      </w:r>
    </w:p>
    <w:p>
      <w:pPr>
        <w:spacing w:after="80"/>
      </w:pPr>
      <w:r>
        <w:rPr>
          <w:rFonts w:ascii="Times New Roman" w:hAnsi="Times New Roman"/>
          <w:b/>
          <w:i w:val="0"/>
          <w:sz w:val="22"/>
        </w:rPr>
        <w:t>Declarations</w:t>
      </w:r>
    </w:p>
    <w:p>
      <w:pPr>
        <w:spacing w:after="120"/>
      </w:pPr>
      <w:r>
        <w:rPr>
          <w:rFonts w:ascii="Times New Roman" w:hAnsi="Times New Roman"/>
          <w:b w:val="0"/>
          <w:i w:val="0"/>
          <w:sz w:val="22"/>
        </w:rPr>
        <w:t>• This manuscript has not been published previously and is not under consideration elsewhere.</w:t>
      </w:r>
    </w:p>
    <w:p>
      <w:pPr>
        <w:spacing w:after="120"/>
      </w:pPr>
      <w:r>
        <w:rPr>
          <w:rFonts w:ascii="Times New Roman" w:hAnsi="Times New Roman"/>
          <w:b w:val="0"/>
          <w:i w:val="0"/>
          <w:sz w:val="22"/>
        </w:rPr>
        <w:t>• All authors have approved the manuscript and agree with its submission to Physiological Measurement.</w:t>
      </w:r>
    </w:p>
    <w:p>
      <w:pPr>
        <w:spacing w:after="120"/>
      </w:pPr>
      <w:r>
        <w:rPr>
          <w:rFonts w:ascii="Times New Roman" w:hAnsi="Times New Roman"/>
          <w:b w:val="0"/>
          <w:i w:val="0"/>
          <w:sz w:val="22"/>
        </w:rPr>
        <w:t>• The authors declare no conflicts of interest.</w:t>
      </w:r>
    </w:p>
    <w:p>
      <w:pPr>
        <w:spacing w:after="240"/>
      </w:pPr>
      <w:r>
        <w:rPr>
          <w:rFonts w:ascii="Times New Roman" w:hAnsi="Times New Roman"/>
          <w:b w:val="0"/>
          <w:i w:val="0"/>
          <w:sz w:val="22"/>
        </w:rPr>
        <w:t>• [Funding statement to be completed by authors]</w:t>
      </w:r>
    </w:p>
    <w:p>
      <w:pPr>
        <w:spacing w:after="360"/>
      </w:pPr>
      <w:r>
        <w:rPr>
          <w:rFonts w:ascii="Times New Roman" w:hAnsi="Times New Roman"/>
          <w:b w:val="0"/>
          <w:i w:val="0"/>
          <w:sz w:val="22"/>
        </w:rPr>
        <w:t>We look forward to your consideration and welcome any feedback from reviewers.</w:t>
      </w:r>
    </w:p>
    <w:p>
      <w:pPr>
        <w:spacing w:after="360"/>
      </w:pPr>
      <w:r>
        <w:rPr>
          <w:rFonts w:ascii="Times New Roman" w:hAnsi="Times New Roman"/>
          <w:b w:val="0"/>
          <w:i w:val="0"/>
          <w:sz w:val="22"/>
        </w:rPr>
        <w:t>Sincerely,</w:t>
      </w:r>
    </w:p>
    <w:p>
      <w:pPr>
        <w:spacing w:after="120"/>
      </w:pPr>
      <w:r>
        <w:rPr>
          <w:rFonts w:ascii="Times New Roman" w:hAnsi="Times New Roman"/>
          <w:b w:val="0"/>
          <w:i w:val="0"/>
          <w:sz w:val="22"/>
        </w:rPr>
        <w:t>[Corresponding Author Name]</w:t>
      </w:r>
    </w:p>
    <w:p>
      <w:pPr>
        <w:spacing w:after="120"/>
      </w:pPr>
      <w:r>
        <w:rPr>
          <w:rFonts w:ascii="Times New Roman" w:hAnsi="Times New Roman"/>
          <w:b w:val="0"/>
          <w:i w:val="0"/>
          <w:sz w:val="22"/>
        </w:rPr>
        <w:t>[Affiliation]</w:t>
      </w:r>
    </w:p>
    <w:p>
      <w:pPr>
        <w:spacing w:after="120"/>
      </w:pPr>
      <w:r>
        <w:rPr>
          <w:rFonts w:ascii="Times New Roman" w:hAnsi="Times New Roman"/>
          <w:b w:val="0"/>
          <w:i w:val="0"/>
          <w:sz w:val="22"/>
        </w:rPr>
        <w:t>[Email]</w:t>
      </w:r>
    </w:p>
    <w:p>
      <w:pPr>
        <w:spacing w:after="120"/>
      </w:pPr>
      <w:r>
        <w:rPr>
          <w:rFonts w:ascii="Times New Roman" w:hAnsi="Times New Roman"/>
          <w:b w:val="0"/>
          <w:i w:val="0"/>
          <w:sz w:val="22"/>
        </w:rP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