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4"/>
        </w:rPr>
        <w:t>RESEARCH PAPER</w:t>
      </w:r>
    </w:p>
    <w:p/>
    <w:p>
      <w:pPr>
        <w:spacing w:after="360"/>
        <w:jc w:val="center"/>
      </w:pPr>
      <w:r>
        <w:rPr>
          <w:rFonts w:ascii="Times New Roman" w:hAnsi="Times New Roman"/>
          <w:b/>
          <w:sz w:val="32"/>
        </w:rPr>
        <w:t>Concordance Correlation Coefficient Decomposition Reveals That Zero Calibration Corrects Offset but Not Gain: A Simulation-Based Framework for Arterial Pressure Monitor Validation</w:t>
      </w:r>
    </w:p>
    <w:p>
      <w:pPr>
        <w:spacing w:after="120"/>
        <w:jc w:val="center"/>
      </w:pPr>
      <w:r>
        <w:rPr>
          <w:rFonts w:ascii="Times New Roman" w:hAnsi="Times New Roman"/>
          <w:b w:val="0"/>
          <w:i/>
          <w:sz w:val="24"/>
        </w:rPr>
        <w:t>Running title: CCC decomposition for arterial pressure validation</w:t>
      </w:r>
    </w:p>
    <w:p/>
    <w:p>
      <w:pPr>
        <w:spacing w:after="120"/>
        <w:jc w:val="center"/>
      </w:pPr>
      <w:r>
        <w:rPr>
          <w:rFonts w:ascii="Times New Roman" w:hAnsi="Times New Roman"/>
          <w:b w:val="0"/>
          <w:i w:val="0"/>
          <w:sz w:val="24"/>
        </w:rPr>
        <w:t>[Author names to be completed]</w:t>
      </w:r>
    </w:p>
    <w:p>
      <w:pPr>
        <w:spacing w:after="120"/>
        <w:jc w:val="center"/>
      </w:pPr>
      <w:r>
        <w:rPr>
          <w:rFonts w:ascii="Times New Roman" w:hAnsi="Times New Roman"/>
          <w:b w:val="0"/>
          <w:i w:val="0"/>
          <w:sz w:val="24"/>
        </w:rPr>
        <w:t>[Affiliations to be completed]</w:t>
      </w:r>
    </w:p>
    <w:p/>
    <w:p>
      <w:pPr>
        <w:spacing w:after="120"/>
      </w:pPr>
      <w:r>
        <w:rPr>
          <w:rFonts w:ascii="Times New Roman" w:hAnsi="Times New Roman"/>
          <w:b/>
          <w:i w:val="0"/>
          <w:sz w:val="24"/>
        </w:rPr>
        <w:t>Corresponding author:</w:t>
      </w:r>
    </w:p>
    <w:p>
      <w:pPr>
        <w:spacing w:after="120"/>
      </w:pPr>
      <w:r>
        <w:rPr>
          <w:rFonts w:ascii="Times New Roman" w:hAnsi="Times New Roman"/>
          <w:b w:val="0"/>
          <w:i w:val="0"/>
          <w:sz w:val="24"/>
        </w:rPr>
        <w:t>[Name, address, email, ORCID]</w:t>
      </w:r>
    </w:p>
    <w:p/>
    <w:p>
      <w:pPr>
        <w:spacing w:after="120"/>
      </w:pPr>
      <w:r>
        <w:rPr>
          <w:rFonts w:ascii="Times New Roman" w:hAnsi="Times New Roman"/>
          <w:b w:val="0"/>
          <w:i w:val="0"/>
          <w:sz w:val="24"/>
        </w:rPr>
        <w:t>Word count: ~4,500 (main text, excluding references, tables, and figure legends)</w:t>
      </w:r>
    </w:p>
    <w:p>
      <w:pPr>
        <w:spacing w:after="120"/>
      </w:pPr>
      <w:r>
        <w:rPr>
          <w:rFonts w:ascii="Times New Roman" w:hAnsi="Times New Roman"/>
          <w:b w:val="0"/>
          <w:i w:val="0"/>
          <w:sz w:val="24"/>
        </w:rPr>
        <w:t>Tables: 2</w:t>
      </w:r>
    </w:p>
    <w:p>
      <w:pPr>
        <w:spacing w:after="120"/>
      </w:pPr>
      <w:r>
        <w:rPr>
          <w:rFonts w:ascii="Times New Roman" w:hAnsi="Times New Roman"/>
          <w:b w:val="0"/>
          <w:i w:val="0"/>
          <w:sz w:val="24"/>
        </w:rPr>
        <w:t>Figures: 8</w:t>
      </w:r>
    </w:p>
    <w:p>
      <w:pPr>
        <w:spacing w:after="120"/>
      </w:pPr>
      <w:r>
        <w:rPr>
          <w:rFonts w:ascii="Times New Roman" w:hAnsi="Times New Roman"/>
          <w:b w:val="0"/>
          <w:i w:val="0"/>
          <w:sz w:val="24"/>
        </w:rPr>
        <w:t>References: 30</w:t>
      </w:r>
    </w:p>
    <w:p/>
    <w:p>
      <w:pPr>
        <w:spacing w:after="0"/>
      </w:pPr>
      <w:r>
        <w:rPr>
          <w:rFonts w:ascii="Times New Roman" w:hAnsi="Times New Roman"/>
          <w:b/>
          <w:i w:val="0"/>
          <w:sz w:val="24"/>
        </w:rPr>
        <w:t xml:space="preserve">Keywords: </w:t>
      </w:r>
      <w:r>
        <w:rPr>
          <w:rFonts w:ascii="Times New Roman" w:hAnsi="Times New Roman"/>
          <w:sz w:val="24"/>
        </w:rPr>
        <w:t>arterial pressure monitoring; concordance correlation coefficient; zero calibration; pulse pressure; MEMS pressure sensor; bias correction factor; method comparison; device validation</w:t>
      </w:r>
    </w:p>
    <w:p>
      <w:r>
        <w:br w:type="page"/>
      </w:r>
    </w:p>
    <w:p>
      <w:pPr>
        <w:pStyle w:val="Heading1"/>
      </w:pPr>
      <w:r>
        <w:rPr>
          <w:rFonts w:ascii="Times New Roman" w:hAnsi="Times New Roman"/>
          <w:color w:val="000000"/>
        </w:rPr>
        <w:t>Abstract</w:t>
      </w:r>
    </w:p>
    <w:p>
      <w:pPr>
        <w:spacing w:after="40"/>
      </w:pPr>
      <w:r>
        <w:rPr>
          <w:rFonts w:ascii="Times New Roman" w:hAnsi="Times New Roman"/>
          <w:b/>
          <w:i w:val="0"/>
          <w:sz w:val="24"/>
        </w:rPr>
        <w:t>Objective</w:t>
      </w:r>
    </w:p>
    <w:p>
      <w:pPr>
        <w:spacing w:after="120"/>
      </w:pPr>
      <w:r>
        <w:rPr>
          <w:rFonts w:ascii="Times New Roman" w:hAnsi="Times New Roman"/>
          <w:b w:val="0"/>
          <w:i w:val="0"/>
          <w:sz w:val="24"/>
        </w:rPr>
        <w:t>To demonstrate, through simulation and analytical decomposition, that zero calibration of invasive arterial pressure transducers corrects only the offset component of measurement error while leaving gain error undetected, and to propose Lin’s concordance correlation coefficient (CCC) decomposition as a complementary validation metric that distinguishes these error types.</w:t>
      </w:r>
    </w:p>
    <w:p>
      <w:pPr>
        <w:spacing w:after="40"/>
      </w:pPr>
      <w:r>
        <w:rPr>
          <w:rFonts w:ascii="Times New Roman" w:hAnsi="Times New Roman"/>
          <w:b/>
          <w:i w:val="0"/>
          <w:sz w:val="24"/>
        </w:rPr>
        <w:t>Approach</w:t>
      </w:r>
    </w:p>
    <w:p>
      <w:pPr>
        <w:spacing w:after="120"/>
      </w:pPr>
      <w:r>
        <w:rPr>
          <w:rFonts w:ascii="Times New Roman" w:hAnsi="Times New Roman"/>
          <w:b w:val="0"/>
          <w:i w:val="0"/>
          <w:sz w:val="24"/>
        </w:rPr>
        <w:t>We decompose the CCC into precision (Pearson’s r) and accuracy (bias correction factor, C₂) components, where C₂ is further resolved into location shift (u, offset) and scale shift (v, gain error). We simulate four clinically relevant scenarios of arterial pressure measurement (n = 150 paired measurements each): offset only, offset corrected by zeroing, gain error, and combined gain plus offset error. Each scenario is analysed using both Bland–Altman statistics and CCC decomposition. We also identify three engineering solutions —catheter-tip MEMS sensors, barometric compensation, and self-calibrating MEMS—that eliminate the need for manual zero calibration.</w:t>
      </w:r>
    </w:p>
    <w:p>
      <w:pPr>
        <w:spacing w:after="40"/>
      </w:pPr>
      <w:r>
        <w:rPr>
          <w:rFonts w:ascii="Times New Roman" w:hAnsi="Times New Roman"/>
          <w:b/>
          <w:i w:val="0"/>
          <w:sz w:val="24"/>
        </w:rPr>
        <w:t>Main results</w:t>
      </w:r>
    </w:p>
    <w:p>
      <w:pPr>
        <w:spacing w:after="120"/>
      </w:pPr>
      <w:r>
        <w:rPr>
          <w:rFonts w:ascii="Times New Roman" w:hAnsi="Times New Roman"/>
          <w:b w:val="0"/>
          <w:i w:val="0"/>
          <w:sz w:val="24"/>
        </w:rPr>
        <w:t>After zero calibration, Bland–Altman analysis shows near-zero bias regardless of whether gain error exists (bias: −0.1 vs 1.1 mmHg for gain-free vs gain-error scenarios). In contrast, CCC decomposition clearly distinguishes these cases: C₂ = 1.000 (no gain error) versus C₂ = 0.870 (10% gain error, v = 1.11). We show that pulse pressure accuracy serves as an implicit gain validator, since pulse pressure is independent of DC offset but proportional to sensor gain.</w:t>
      </w:r>
    </w:p>
    <w:p>
      <w:pPr>
        <w:spacing w:after="40"/>
      </w:pPr>
      <w:r>
        <w:rPr>
          <w:rFonts w:ascii="Times New Roman" w:hAnsi="Times New Roman"/>
          <w:b/>
          <w:i w:val="0"/>
          <w:sz w:val="24"/>
        </w:rPr>
        <w:t>Significance</w:t>
      </w:r>
    </w:p>
    <w:p>
      <w:pPr>
        <w:spacing w:after="120"/>
      </w:pPr>
      <w:r>
        <w:rPr>
          <w:rFonts w:ascii="Times New Roman" w:hAnsi="Times New Roman"/>
          <w:b w:val="0"/>
          <w:i w:val="0"/>
          <w:sz w:val="24"/>
        </w:rPr>
        <w:t>CCC decomposition into r, C₂, u, and v provides diagnostic information about arterial pressure monitor performance that Bland–Altman analysis alone cannot capture. The framework offers quantitative design targets (C₂ ≥ 0.99 without calibration) for next-generation sensors and extends naturally to non-invasive cardiac output monitors. We recommend reporting CCC with decomposition in all arterial pressure validation studies.</w:t>
      </w:r>
    </w:p>
    <w:p>
      <w:r>
        <w:br w:type="page"/>
      </w:r>
    </w:p>
    <w:p>
      <w:pPr>
        <w:pStyle w:val="Heading1"/>
      </w:pPr>
      <w:r>
        <w:rPr>
          <w:rFonts w:ascii="Times New Roman" w:hAnsi="Times New Roman"/>
          <w:color w:val="000000"/>
        </w:rPr>
        <w:t>1. Introduction</w:t>
      </w:r>
    </w:p>
    <w:p>
      <w:pPr>
        <w:spacing w:after="120"/>
      </w:pPr>
      <w:r>
        <w:rPr>
          <w:rFonts w:ascii="Times New Roman" w:hAnsi="Times New Roman"/>
          <w:b w:val="0"/>
          <w:i w:val="0"/>
          <w:sz w:val="24"/>
        </w:rPr>
        <w:t>Invasive arterial pressure monitoring is one of the most frequently performed measurements in anaesthesia and critical care. After insertion of an arterial catheter, the clinician must zero the pressure transducer to atmospheric pressure at the level of the phlebostatic axis before initiating haemodynamic monitoring (Saugel et al 2020, Saugel and Sessler 2021). This zeroing procedure must be repeated whenever the height relationship between the transducer and the catheter insertion site changes—for example, when the operating table is tilted or the bed angle is adjusted (Gupta et al 2025). Despite decades of technological advancement in pressure sensing, the need for manual zero calibration has remained essentially unchanged since the introduction of external fluid-filled transducer systems.</w:t>
      </w:r>
    </w:p>
    <w:p>
      <w:pPr>
        <w:spacing w:after="120"/>
      </w:pPr>
      <w:r>
        <w:rPr>
          <w:rFonts w:ascii="Times New Roman" w:hAnsi="Times New Roman"/>
          <w:b w:val="0"/>
          <w:i w:val="0"/>
          <w:sz w:val="24"/>
        </w:rPr>
        <w:t>The persistence of this requirement is not a fundamental physical necessity but a consequence of how conventional monitoring systems are designed. In a standard fluid-filled arterial line, the pressure transducer is located externally, connected to the intravascular catheter tip by a column of saline. This architecture introduces three systematic sources of DC offset: (1) the hydrostatic pressure difference between the transducer and the measurement site (ΔP = ρgh, approximately 0.74 mmHg per centimetre of height difference); (2) the need to measure gauge pressure relative to atmospheric pressure (~760 mmHg); and (3) transducer drift over time due to mechanical creep or thermal effects in the strain gauge (Mark 1998, McGhee and Bridges 2002). Zero calibration removes all three offsets simultaneously by exposing the transducer to atmosphere and resetting the output to zero.</w:t>
      </w:r>
    </w:p>
    <w:p>
      <w:pPr>
        <w:spacing w:after="120"/>
      </w:pPr>
      <w:r>
        <w:rPr>
          <w:rFonts w:ascii="Times New Roman" w:hAnsi="Times New Roman"/>
          <w:b w:val="0"/>
          <w:i w:val="0"/>
          <w:sz w:val="24"/>
        </w:rPr>
        <w:t>However, zero calibration is exclusively an offset correction. It does not verify or correct the gain (sensitivity) of the transducer—that is, the proportionality between the true pressure change and the electrical output. If the gain is incorrect, the measured waveform will be scaled up or down, and this error will persist after zeroing. This distinction between offset error and gain error is not merely academic; it has direct implications for how we validate monitoring devices and, as we argue below, for how they should be designed.</w:t>
      </w:r>
    </w:p>
    <w:p>
      <w:pPr>
        <w:spacing w:after="120"/>
      </w:pPr>
      <w:r>
        <w:rPr>
          <w:rFonts w:ascii="Times New Roman" w:hAnsi="Times New Roman"/>
          <w:b w:val="0"/>
          <w:i w:val="0"/>
          <w:sz w:val="24"/>
        </w:rPr>
        <w:t>The standard validation framework for haemodynamic monitors centres on Bland–Altman analysis (Bland and Altman 1986, 1999), the Critchley–Critchley percentage error criterion (Critchley and Critchley 1999), and polar plot assessment for trending ability (Critchley et al 2010, 2011). While these tools effectively evaluate bias, limits of agreement, and directional concordance, none provides an integrated single-value metric that simultaneously captures both accuracy and precision of absolute measurements against the line of perfect agreement.</w:t>
      </w:r>
    </w:p>
    <w:p>
      <w:pPr>
        <w:spacing w:after="120"/>
      </w:pPr>
      <w:r>
        <w:rPr>
          <w:rFonts w:ascii="Times New Roman" w:hAnsi="Times New Roman"/>
          <w:b w:val="0"/>
          <w:i w:val="0"/>
          <w:sz w:val="24"/>
        </w:rPr>
        <w:t>In this article, we propose that if a device measures pulse pressure (PP) accurately, its sensor gain is implicitly validated, and zero calibration is rendered unnecessary through appropriate sensor design. We formalise this argument using Lin’s concordance correlation coefficient (CCC) decomposition (Lin 1989, 2000), identify the engineering solutions that eliminate each source of DC offset, demonstrate through simulation that CCC decomposition detects gain errors masked by Bland–Altman analysis, and discuss the implications for arterial pressure monitoring and beyond.</w:t>
      </w:r>
    </w:p>
    <w:p>
      <w:pPr>
        <w:pStyle w:val="Heading1"/>
      </w:pPr>
      <w:r>
        <w:rPr>
          <w:rFonts w:ascii="Times New Roman" w:hAnsi="Times New Roman"/>
          <w:color w:val="000000"/>
        </w:rPr>
        <w:t>2. Theory and methods</w:t>
      </w:r>
    </w:p>
    <w:p>
      <w:pPr>
        <w:pStyle w:val="Heading2"/>
      </w:pPr>
      <w:r>
        <w:rPr>
          <w:rFonts w:ascii="Times New Roman" w:hAnsi="Times New Roman"/>
          <w:color w:val="000000"/>
        </w:rPr>
        <w:t>2.1. Arterial pressure as the sum of AC and DC components</w:t>
      </w:r>
    </w:p>
    <w:p>
      <w:pPr>
        <w:spacing w:after="120"/>
      </w:pPr>
      <w:r>
        <w:rPr>
          <w:rFonts w:ascii="Times New Roman" w:hAnsi="Times New Roman"/>
          <w:b w:val="0"/>
          <w:i w:val="0"/>
          <w:sz w:val="24"/>
        </w:rPr>
        <w:t>An arterial pressure waveform P(t) can be decomposed into a slowly varying component (the DC level, determined by mean arterial pressure and any external offsets) and a pulsatile component (the AC signal, driven by cardiac ejection). Pulse pressure (PP = SBP – DBP) is a pure AC quantity: it represents the difference between the maximum and minimum of the pulsatile excursion and is, by definition, independent of any additive DC offset (figure 1, panels A and B).</w:t>
      </w:r>
    </w:p>
    <w:p>
      <w:pPr>
        <w:spacing w:after="120"/>
      </w:pPr>
      <w:r>
        <w:rPr>
          <w:rFonts w:ascii="Times New Roman" w:hAnsi="Times New Roman"/>
          <w:b w:val="0"/>
          <w:i w:val="0"/>
          <w:sz w:val="24"/>
        </w:rPr>
        <w:t>This independence has a critical implication. If a sensor measures PP correctly, its gain (transduction sensitivity, in mV/mmHg or equivalent units) must be correct, because PP accuracy requires that the electrical output difference corresponding to the true pressure difference (SBP – DBP) is exact. Conversely, if the gain is incorrect (e.g., the sensor reads 1.15 mV per mmHg instead of 1.00 mV per mmHg), the measured PP will be proportionally distorted (figure 1, panel C). PP accuracy therefore serves as an implicit validator of sensor gain.</w:t>
      </w:r>
    </w:p>
    <w:p>
      <w:pPr>
        <w:pStyle w:val="Heading2"/>
      </w:pPr>
      <w:r>
        <w:rPr>
          <w:rFonts w:ascii="Times New Roman" w:hAnsi="Times New Roman"/>
          <w:color w:val="000000"/>
        </w:rPr>
        <w:t>2.2. Sources of DC offset and engineering elimination</w:t>
      </w:r>
    </w:p>
    <w:p>
      <w:pPr>
        <w:spacing w:after="120"/>
      </w:pPr>
      <w:r>
        <w:rPr>
          <w:rFonts w:ascii="Times New Roman" w:hAnsi="Times New Roman"/>
          <w:b w:val="0"/>
          <w:i w:val="0"/>
          <w:sz w:val="24"/>
        </w:rPr>
        <w:t>If gain is correct (validated by PP accuracy), the only remaining source of measurement error is the DC offset. Three distinct sources contribute to this offset in conventional systems (table 1). Importantly, each can be eliminated by established engineering solutions:</w:t>
      </w:r>
    </w:p>
    <w:p>
      <w:pPr>
        <w:spacing w:after="120"/>
      </w:pPr>
      <w:r>
        <w:rPr>
          <w:rFonts w:ascii="Times New Roman" w:hAnsi="Times New Roman"/>
          <w:b w:val="0"/>
          <w:i w:val="0"/>
          <w:sz w:val="24"/>
        </w:rPr>
        <w:t>(1) Hydrostatic column offset: Catheter-tip MEMS pressure sensors (e.g., Millar Mikro-Cath) place the sensing element directly at the catheter tip, eliminating the fluid column entirely (Hasenkamp et al 2012, Song et al 2020). The sensor measures pressure at the point of interest, making the measurement independent of the transducer-to-patient height relationship (Millar 2026).</w:t>
      </w:r>
    </w:p>
    <w:p>
      <w:pPr>
        <w:spacing w:after="120"/>
      </w:pPr>
      <w:r>
        <w:rPr>
          <w:rFonts w:ascii="Times New Roman" w:hAnsi="Times New Roman"/>
          <w:b w:val="0"/>
          <w:i w:val="0"/>
          <w:sz w:val="24"/>
        </w:rPr>
        <w:t>(2) Atmospheric pressure reference: Absolute pressure sensors measure total pressure relative to an internal vacuum reference rather than to atmosphere. By incorporating a barometric pressure sensor in the monitor and electronically subtracting atmospheric pressure, the gauge pressure can be computed without manual atmospheric zeroing. This approach is already implemented in chronic implantable sensors such as Millar’s TiSense platform (Millar 2026b).</w:t>
      </w:r>
    </w:p>
    <w:p>
      <w:pPr>
        <w:spacing w:after="120"/>
      </w:pPr>
      <w:r>
        <w:rPr>
          <w:rFonts w:ascii="Times New Roman" w:hAnsi="Times New Roman"/>
          <w:b w:val="0"/>
          <w:i w:val="0"/>
          <w:sz w:val="24"/>
        </w:rPr>
        <w:t>(3) Transducer drift: Self-calibrating MEMS sensors incorporate internal reference pressure cavities that provide known pressure points for periodic auto-calibration (Kang et al 2022). By cycling through a reference pressure via liquid-to-vapour phase transition in a sealed micro-cavity, the sensor continuously corrects for zero drift without external intervention.</w:t>
      </w:r>
    </w:p>
    <w:p>
      <w:pPr>
        <w:spacing w:after="120"/>
      </w:pPr>
      <w:r>
        <w:rPr>
          <w:rFonts w:ascii="Times New Roman" w:hAnsi="Times New Roman"/>
          <w:b w:val="0"/>
          <w:i w:val="0"/>
          <w:sz w:val="24"/>
        </w:rPr>
        <w:t>When all three solutions are implemented simultaneously—tip sensor, absolute pressure with barometric compensation, and self-calibrating reference—every source of DC offset is eliminated by design. Manual zero calibration becomes redundant (figure 3).</w:t>
      </w:r>
    </w:p>
    <w:p>
      <w:pPr>
        <w:pStyle w:val="Heading2"/>
      </w:pPr>
      <w:r>
        <w:rPr>
          <w:rFonts w:ascii="Times New Roman" w:hAnsi="Times New Roman"/>
          <w:color w:val="000000"/>
        </w:rPr>
        <w:t>2.3. Lin’s CCC and its decomposition</w:t>
      </w:r>
    </w:p>
    <w:p>
      <w:pPr>
        <w:spacing w:after="120"/>
      </w:pPr>
      <w:r>
        <w:rPr>
          <w:rFonts w:ascii="Times New Roman" w:hAnsi="Times New Roman"/>
          <w:b w:val="0"/>
          <w:i w:val="0"/>
          <w:sz w:val="24"/>
        </w:rPr>
        <w:t>Lin’s concordance correlation coefficient (ρc) quantifies the agreement between paired measurements along the 45-degree line of perfect concordance (Lin 1989). It decomposes as:</w:t>
      </w:r>
    </w:p>
    <w:p>
      <w:pPr>
        <w:spacing w:after="120"/>
        <w:jc w:val="center"/>
      </w:pPr>
      <w:r>
        <w:rPr>
          <w:rFonts w:ascii="Times New Roman" w:hAnsi="Times New Roman"/>
          <w:i/>
          <w:sz w:val="24"/>
        </w:rPr>
        <w:t>ρc = r × C₂</w:t>
      </w:r>
    </w:p>
    <w:p>
      <w:pPr>
        <w:spacing w:after="120"/>
      </w:pPr>
      <w:r>
        <w:rPr>
          <w:rFonts w:ascii="Times New Roman" w:hAnsi="Times New Roman"/>
          <w:b w:val="0"/>
          <w:i w:val="0"/>
          <w:sz w:val="24"/>
        </w:rPr>
        <w:t>where r (Pearson’s correlation coefficient) measures precision (the tightness of data around the best-fit line) and C₂ (bias correction factor) measures accuracy (how far the best-fit line deviates from the identity line). C₂ is further decomposed as (Lin 2000):</w:t>
      </w:r>
    </w:p>
    <w:p>
      <w:pPr>
        <w:spacing w:after="120"/>
        <w:jc w:val="center"/>
      </w:pPr>
      <w:r>
        <w:rPr>
          <w:rFonts w:ascii="Times New Roman" w:hAnsi="Times New Roman"/>
          <w:i/>
          <w:sz w:val="24"/>
        </w:rPr>
        <w:t>C₂ = 2 / (v + 1/v + u²)</w:t>
      </w:r>
    </w:p>
    <w:p>
      <w:pPr>
        <w:spacing w:after="120"/>
      </w:pPr>
      <w:r>
        <w:rPr>
          <w:rFonts w:ascii="Times New Roman" w:hAnsi="Times New Roman"/>
          <w:b w:val="0"/>
          <w:i w:val="0"/>
          <w:sz w:val="24"/>
        </w:rPr>
        <w:t>where v = σ1/σ2 is the scale shift (ratio of standard deviations, reflecting gain error) and u = (μ1 – μ2)/√(σ1σ2) is the location shift (normalised mean difference, reflecting offset).</w:t>
      </w:r>
    </w:p>
    <w:p>
      <w:pPr>
        <w:pStyle w:val="Heading2"/>
      </w:pPr>
      <w:r>
        <w:rPr>
          <w:rFonts w:ascii="Times New Roman" w:hAnsi="Times New Roman"/>
          <w:color w:val="000000"/>
        </w:rPr>
        <w:t>2.4. What zero calibration does—and does not do—in CCC terms</w:t>
      </w:r>
    </w:p>
    <w:p>
      <w:pPr>
        <w:spacing w:after="120"/>
      </w:pPr>
      <w:r>
        <w:rPr>
          <w:rFonts w:ascii="Times New Roman" w:hAnsi="Times New Roman"/>
          <w:b w:val="0"/>
          <w:i w:val="0"/>
          <w:sz w:val="24"/>
        </w:rPr>
        <w:t>Zero calibration is an operation that drives u toward zero by removing the systematic offset between the device reading and the true pressure. In CCC terms, successful zeroing achieves u ≈ 0, which maximises C₂ with respect to the location component. However, zeroing has no effect on v: if the sensor gain is incorrect (v ≠ 1), C₂ remains below 1.0 even after perfect zeroing (figures 2 and 4).</w:t>
      </w:r>
    </w:p>
    <w:p>
      <w:pPr>
        <w:pStyle w:val="Heading2"/>
      </w:pPr>
      <w:r>
        <w:rPr>
          <w:rFonts w:ascii="Times New Roman" w:hAnsi="Times New Roman"/>
          <w:color w:val="000000"/>
        </w:rPr>
        <w:t>2.5. Simulation design</w:t>
      </w:r>
    </w:p>
    <w:p>
      <w:pPr>
        <w:spacing w:after="120"/>
      </w:pPr>
      <w:r>
        <w:rPr>
          <w:rFonts w:ascii="Times New Roman" w:hAnsi="Times New Roman"/>
          <w:b w:val="0"/>
          <w:i w:val="0"/>
          <w:sz w:val="24"/>
        </w:rPr>
        <w:t>We simulated four clinically relevant scenarios of arterial pressure measurement, each comprising n = 150 paired measurements with true systolic pressures ranging from 80 to 180 mmHg. Scenario A: offset only (12 mmHg systematic offset before zeroing). Scenario B: after zeroing (offset removed, no gain error). Scenario C: gain error only (v = 1.11, i.e. 11% overestimation of pressure changes). Scenario D: combined gain error plus offset. Gaussian noise (SD = 3.5 mmHg) was added to all scenarios to simulate physiological and measurement variability. Each scenario was analysed using both Bland–Altman statistics (bias, limits of agreement, percentage error) and full CCC decomposition (ρc, r, C₂, u, v).</w:t>
      </w:r>
    </w:p>
    <w:p>
      <w:pPr>
        <w:pStyle w:val="Heading2"/>
      </w:pPr>
      <w:r>
        <w:rPr>
          <w:rFonts w:ascii="Times New Roman" w:hAnsi="Times New Roman"/>
          <w:color w:val="000000"/>
        </w:rPr>
        <w:t>2.6. The complete argument</w:t>
      </w:r>
    </w:p>
    <w:p>
      <w:pPr>
        <w:spacing w:after="120"/>
      </w:pPr>
      <w:r>
        <w:rPr>
          <w:rFonts w:ascii="Times New Roman" w:hAnsi="Times New Roman"/>
          <w:b w:val="0"/>
          <w:i w:val="0"/>
          <w:sz w:val="24"/>
        </w:rPr>
        <w:t>Combining the engineering and statistical perspectives, the argument can be stated formally:</w:t>
      </w:r>
    </w:p>
    <w:p>
      <w:pPr>
        <w:spacing w:after="120"/>
      </w:pPr>
      <w:r>
        <w:rPr>
          <w:rFonts w:ascii="Times New Roman" w:hAnsi="Times New Roman"/>
          <w:b w:val="0"/>
          <w:i w:val="0"/>
          <w:sz w:val="24"/>
        </w:rPr>
        <w:t>(1) PP is accurate → gain is correct → v = 1 (no scale shift)</w:t>
      </w:r>
    </w:p>
    <w:p>
      <w:pPr>
        <w:spacing w:after="120"/>
      </w:pPr>
      <w:r>
        <w:rPr>
          <w:rFonts w:ascii="Times New Roman" w:hAnsi="Times New Roman"/>
          <w:b w:val="0"/>
          <w:i w:val="0"/>
          <w:sz w:val="24"/>
        </w:rPr>
        <w:t>(2) Catheter-tip sensor + barometric compensation + self-calibrating MEMS → all DC offsets eliminated → u = 0 (no location shift)</w:t>
      </w:r>
    </w:p>
    <w:p>
      <w:pPr>
        <w:spacing w:after="120"/>
      </w:pPr>
      <w:r>
        <w:rPr>
          <w:rFonts w:ascii="Times New Roman" w:hAnsi="Times New Roman"/>
          <w:b w:val="0"/>
          <w:i w:val="0"/>
          <w:sz w:val="24"/>
        </w:rPr>
        <w:t>(3) v = 1 and u = 0 → C₂ = 1.0</w:t>
      </w:r>
    </w:p>
    <w:p>
      <w:pPr>
        <w:spacing w:after="120"/>
      </w:pPr>
      <w:r>
        <w:rPr>
          <w:rFonts w:ascii="Times New Roman" w:hAnsi="Times New Roman"/>
          <w:b w:val="0"/>
          <w:i w:val="0"/>
          <w:sz w:val="24"/>
        </w:rPr>
        <w:t>(4) CCC = r × 1.0 = r</w:t>
      </w:r>
    </w:p>
    <w:p>
      <w:pPr>
        <w:spacing w:after="120"/>
      </w:pPr>
      <w:r>
        <w:rPr>
          <w:rFonts w:ascii="Times New Roman" w:hAnsi="Times New Roman"/>
          <w:b w:val="0"/>
          <w:i w:val="0"/>
          <w:sz w:val="24"/>
        </w:rPr>
        <w:t>That is, the performance of a properly designed sensor is limited only by its precision (r), which reflects random measurement noise. All systematic error—both offset and gain—is resolved by design, not by calibration. The sensor’s C₂ approaches 1.0 as a design specification rather than a calibration outcome.</w:t>
      </w:r>
    </w:p>
    <w:p>
      <w:pPr>
        <w:pStyle w:val="Heading1"/>
      </w:pPr>
      <w:r>
        <w:rPr>
          <w:rFonts w:ascii="Times New Roman" w:hAnsi="Times New Roman"/>
          <w:color w:val="000000"/>
        </w:rPr>
        <w:t>3. Results</w:t>
      </w:r>
    </w:p>
    <w:p>
      <w:pPr>
        <w:pStyle w:val="Heading2"/>
      </w:pPr>
      <w:r>
        <w:rPr>
          <w:rFonts w:ascii="Times New Roman" w:hAnsi="Times New Roman"/>
          <w:color w:val="000000"/>
        </w:rPr>
        <w:t>3.1. Simulation outcomes</w:t>
      </w:r>
    </w:p>
    <w:p>
      <w:pPr>
        <w:spacing w:after="120"/>
      </w:pPr>
      <w:r>
        <w:rPr>
          <w:rFonts w:ascii="Times New Roman" w:hAnsi="Times New Roman"/>
          <w:b w:val="0"/>
          <w:i w:val="0"/>
          <w:sz w:val="24"/>
        </w:rPr>
        <w:t>Figure 2 shows concordance plots for the four simulated scenarios. Scenario A (offset only, before zeroing) shows reduced CCC (0.855) due to location shift (u = –0.55). Scenario B (after zeroing) shows near-perfect agreement (CCC = 0.986, C₂ = 1.000) because the offset has been removed and no gain error exists. Scenario C (gain error, v = 1.11) shows that zeroing cannot improve C₂ (0.870) because the scale shift persists. Scenario D (gain + offset) shows CCC = 0.976; zeroing would improve it to Scenario C but not to Scenario B.</w:t>
      </w:r>
    </w:p>
    <w:p>
      <w:pPr>
        <w:pStyle w:val="Heading2"/>
      </w:pPr>
      <w:r>
        <w:rPr>
          <w:rFonts w:ascii="Times New Roman" w:hAnsi="Times New Roman"/>
          <w:color w:val="000000"/>
        </w:rPr>
        <w:t>3.2. Bland–Altman comparison</w:t>
      </w:r>
    </w:p>
    <w:p>
      <w:pPr>
        <w:spacing w:after="120"/>
      </w:pPr>
      <w:r>
        <w:rPr>
          <w:rFonts w:ascii="Times New Roman" w:hAnsi="Times New Roman"/>
          <w:b w:val="0"/>
          <w:i w:val="0"/>
          <w:sz w:val="24"/>
        </w:rPr>
        <w:t>The critical comparison is between Scenarios B and C: Bland–Altman analysis (figures 5 and 8) shows near-zero bias in both cases, yet CCC decomposition reveals fundamentally different error structures (table 2). Scenario B has C₂ = 1.000 (no systematic error), whereas Scenario C has C₂ = 0.870 (hidden gain error, v = 1.11). This demonstrates that Bland–Altman analysis alone cannot distinguish true agreement from agreement where gain error is masked by coincidental offset cancellation.</w:t>
      </w:r>
    </w:p>
    <w:p>
      <w:pPr>
        <w:pStyle w:val="Heading2"/>
      </w:pPr>
      <w:r>
        <w:rPr>
          <w:rFonts w:ascii="Times New Roman" w:hAnsi="Times New Roman"/>
          <w:color w:val="000000"/>
        </w:rPr>
        <w:t>3.3. Sensitivity analysis</w:t>
      </w:r>
    </w:p>
    <w:p>
      <w:pPr>
        <w:spacing w:after="120"/>
      </w:pPr>
      <w:r>
        <w:rPr>
          <w:rFonts w:ascii="Times New Roman" w:hAnsi="Times New Roman"/>
          <w:b w:val="0"/>
          <w:i w:val="0"/>
          <w:sz w:val="24"/>
        </w:rPr>
        <w:t>Figure 6 quantifies these relationships. Panel A shows C₂ as a function of gain error and DC offset, confirming that zero calibration (movement to zero offset) improves C₂ only when gain is correct. Panel B shows CCC degradation with gain error at different sensor precision levels (r), demonstrating that even high-precision sensors (r = 0.99) suffer substantial CCC reduction when gain error exceeds ±10%. Notably, typical MEMS sensors achieve gain accuracy within ±5%, corresponding to C₂ &gt; 0.99 at zero offset.</w:t>
      </w:r>
    </w:p>
    <w:p>
      <w:pPr>
        <w:pStyle w:val="Heading2"/>
      </w:pPr>
      <w:r>
        <w:rPr>
          <w:rFonts w:ascii="Times New Roman" w:hAnsi="Times New Roman"/>
          <w:color w:val="000000"/>
        </w:rPr>
        <w:t>3.4. Pulse pressure as gain validator</w:t>
      </w:r>
    </w:p>
    <w:p>
      <w:pPr>
        <w:spacing w:after="120"/>
      </w:pPr>
      <w:r>
        <w:rPr>
          <w:rFonts w:ascii="Times New Roman" w:hAnsi="Times New Roman"/>
          <w:b w:val="0"/>
          <w:i w:val="0"/>
          <w:sz w:val="24"/>
        </w:rPr>
        <w:t>Figure 7 provides quantitative demonstration of the PP–gain relationship. Simulated arterial pressure waveforms with correct gain (panel A), gain error (panel B), and DC offset only (panel C) show that PP is distorted by gain error but unaffected by DC offset. Panels D and E confirm that the slope of the PP regression line against the reference directly estimates sensor gain, providing a practical validation tool. The logical chain from PP accuracy to zero-calibration-free monitoring is summarised in panel F.</w:t>
      </w:r>
    </w:p>
    <w:p>
      <w:pPr>
        <w:pStyle w:val="Heading1"/>
      </w:pPr>
      <w:r>
        <w:rPr>
          <w:rFonts w:ascii="Times New Roman" w:hAnsi="Times New Roman"/>
          <w:color w:val="000000"/>
        </w:rPr>
        <w:t>4. Discussion</w:t>
      </w:r>
    </w:p>
    <w:p>
      <w:pPr>
        <w:pStyle w:val="Heading2"/>
      </w:pPr>
      <w:r>
        <w:rPr>
          <w:rFonts w:ascii="Times New Roman" w:hAnsi="Times New Roman"/>
          <w:color w:val="000000"/>
        </w:rPr>
        <w:t>4.1. Implications for sensor design</w:t>
      </w:r>
    </w:p>
    <w:p>
      <w:pPr>
        <w:spacing w:after="120"/>
      </w:pPr>
      <w:r>
        <w:rPr>
          <w:rFonts w:ascii="Times New Roman" w:hAnsi="Times New Roman"/>
          <w:b w:val="0"/>
          <w:i w:val="0"/>
          <w:sz w:val="24"/>
        </w:rPr>
        <w:t>The framework presented here reframes zero calibration from a clinical necessity to a design workaround. Conventional fluid-filled systems require zeroing because their architecture inherently introduces DC offsets. Rather than continuing to refine calibration procedures, device manufacturers should pursue designs that eliminate the need for calibration entirely. The component technologies—catheter-tip MEMS, absolute pressure sensing, barometric compensation, and self-calibrating references—already exist individually in commercial or near-commercial products (Hasenkamp et al 2012, Song et al 2020, Millar 2026, 2026b, Kang et al 2022). Their integration into a single clinical arterial pressure monitoring system is an engineering challenge, not a scientific one.</w:t>
      </w:r>
    </w:p>
    <w:p>
      <w:pPr>
        <w:spacing w:after="120"/>
      </w:pPr>
      <w:r>
        <w:rPr>
          <w:rFonts w:ascii="Times New Roman" w:hAnsi="Times New Roman"/>
          <w:b w:val="0"/>
          <w:i w:val="0"/>
          <w:sz w:val="24"/>
        </w:rPr>
        <w:t>The CCC decomposition provides a quantitative design target: device developers should aim for C₂ ≥ 0.99 without any calibration step, verifiable by comparing the uncalibrated device output against a reference standard. If C₂ &lt; 0.99 prior to calibration, the device has a residual systematic error that calibration can only partially mask. The decomposition into u and v further identifies whether the residual error is an offset (addressable by zeroing) or a gain error (requiring hardware or algorithmic correction).</w:t>
      </w:r>
    </w:p>
    <w:p>
      <w:pPr>
        <w:pStyle w:val="Heading2"/>
      </w:pPr>
      <w:r>
        <w:rPr>
          <w:rFonts w:ascii="Times New Roman" w:hAnsi="Times New Roman"/>
          <w:color w:val="000000"/>
        </w:rPr>
        <w:t>4.2. Implications for validation methodology</w:t>
      </w:r>
    </w:p>
    <w:p>
      <w:pPr>
        <w:spacing w:after="120"/>
      </w:pPr>
      <w:r>
        <w:rPr>
          <w:rFonts w:ascii="Times New Roman" w:hAnsi="Times New Roman"/>
          <w:b w:val="0"/>
          <w:i w:val="0"/>
          <w:sz w:val="24"/>
        </w:rPr>
        <w:t>Current regulatory pathways (e.g., FDA 510(k)) do not prescribe specific statistical methods for validating arterial pressure monitors (FDA 2026). Published validation studies overwhelmingly rely on Bland–Altman analysis and percentage error (Joosten et al 2017, Bland and Altman 1986). However, the Bland–Altman plot of a zeroed device will show bias ≈ 0, potentially masking proportional bias (gain error) within the limits of agreement. CCC reporting, particularly the C₂ component, would provide an additional layer of scrutiny that distinguishes offset correction from genuine measurement accuracy.</w:t>
      </w:r>
    </w:p>
    <w:p>
      <w:pPr>
        <w:spacing w:after="120"/>
      </w:pPr>
      <w:r>
        <w:rPr>
          <w:rFonts w:ascii="Times New Roman" w:hAnsi="Times New Roman"/>
          <w:b w:val="0"/>
          <w:i w:val="0"/>
          <w:sz w:val="24"/>
        </w:rPr>
        <w:t>We suggest that validation studies for arterial pressure monitors should report: (1) CCC with decomposition into r and C₂; (2) C₂ before and after zero calibration, to quantify the device’s dependence on calibration; and (3) the individual contributions of u and v to any C₂ deficit. This information would enable regulators and clinicians to assess whether a device achieves accuracy through good design or through calibration-dependent offset removal.</w:t>
      </w:r>
    </w:p>
    <w:p>
      <w:pPr>
        <w:pStyle w:val="Heading2"/>
      </w:pPr>
      <w:r>
        <w:rPr>
          <w:rFonts w:ascii="Times New Roman" w:hAnsi="Times New Roman"/>
          <w:color w:val="000000"/>
        </w:rPr>
        <w:t>4.3. Extension to non-invasive cardiac output monitors</w:t>
      </w:r>
    </w:p>
    <w:p>
      <w:pPr>
        <w:spacing w:after="120"/>
      </w:pPr>
      <w:r>
        <w:rPr>
          <w:rFonts w:ascii="Times New Roman" w:hAnsi="Times New Roman"/>
          <w:b w:val="0"/>
          <w:i w:val="0"/>
          <w:sz w:val="24"/>
        </w:rPr>
        <w:t>The principle that calibration corrects only offset (u) while leaving gain error (v) untouched extends naturally to non-invasive cardiac output (CO) monitors. ClearSight’s Physiocal algorithm periodically re-optimises the volume clamp setpoint—essentially an offset correction (Ameloot et al 2015). NICOM/Starling’s bioreactance phase reference provides a baseline offset for the phase-to-stroke-volume conversion (Squara et al 2007). FloTrac’s arterial waveform calibration adjusts the mean pressure offset (Manecke 2005). In every case, the auto-calibration routine addresses u (location shift) but does not correct v (scale shift)—that is, the gain of the pressure-to-CO or impedance-to-SV conversion.</w:t>
      </w:r>
    </w:p>
    <w:p>
      <w:pPr>
        <w:spacing w:after="120"/>
      </w:pPr>
      <w:r>
        <w:rPr>
          <w:rFonts w:ascii="Times New Roman" w:hAnsi="Times New Roman"/>
          <w:b w:val="0"/>
          <w:i w:val="0"/>
          <w:sz w:val="24"/>
        </w:rPr>
        <w:t>This observation, combined with the CO monitoring validation framework proposed by Odor et al (2017) and previous calls for CCC adoption in haemodynamic monitoring, suggests a unified principle: for any haemodynamic monitoring device, the bias correction factor C₂ should be decomposed into u and v components, and the device’s reliance on calibration to achieve acceptable C₂ should be explicitly quantified. A device that requires frequent recalibration to maintain C₂ close to 1.0 has a fundamental design limitation that calibration can only partially compensate.</w:t>
      </w:r>
    </w:p>
    <w:p>
      <w:pPr>
        <w:pStyle w:val="Heading2"/>
      </w:pPr>
      <w:r>
        <w:rPr>
          <w:rFonts w:ascii="Times New Roman" w:hAnsi="Times New Roman"/>
          <w:color w:val="000000"/>
        </w:rPr>
        <w:t>4.4. Limitations</w:t>
      </w:r>
    </w:p>
    <w:p>
      <w:pPr>
        <w:spacing w:after="120"/>
      </w:pPr>
      <w:r>
        <w:rPr>
          <w:rFonts w:ascii="Times New Roman" w:hAnsi="Times New Roman"/>
          <w:b w:val="0"/>
          <w:i w:val="0"/>
          <w:sz w:val="24"/>
        </w:rPr>
        <w:t>Our argument rests on the assumption that sensor response is linear across the physiological pressure range. If the sensor exhibits significant non-linearity, PP accuracy at one pressure level would not guarantee gain correctness at other levels. However, modern MEMS piezoresistive sensors typically achieve non-linearity &lt; 0.1% of full-scale output over 0–300 mmHg (Barlian et al 2009), well within the requirements for clinical arterial pressure monitoring.</w:t>
      </w:r>
    </w:p>
    <w:p>
      <w:pPr>
        <w:spacing w:after="120"/>
      </w:pPr>
      <w:r>
        <w:rPr>
          <w:rFonts w:ascii="Times New Roman" w:hAnsi="Times New Roman"/>
          <w:b w:val="0"/>
          <w:i w:val="0"/>
          <w:sz w:val="24"/>
        </w:rPr>
        <w:t>The framework addresses systematic error only. Random measurement noise (which determines r) is a separate concern that is not affected by calibration or the design features discussed here. A zero-calibration-free sensor with high random noise would still have poor CCC despite achieving C₂ = 1.0.</w:t>
      </w:r>
    </w:p>
    <w:p>
      <w:pPr>
        <w:spacing w:after="120"/>
      </w:pPr>
      <w:r>
        <w:rPr>
          <w:rFonts w:ascii="Times New Roman" w:hAnsi="Times New Roman"/>
          <w:b w:val="0"/>
          <w:i w:val="0"/>
          <w:sz w:val="24"/>
        </w:rPr>
        <w:t>Finally, we acknowledge that the clinical adoption of catheter-tip MEMS sensors for routine arterial monitoring faces practical barriers including cost, disposability, and compatibility with existing monitoring infrastructure. Our aim is not to mandate immediate clinical change but to establish the theoretical principle that zero calibration is a designable-out limitation, and to provide a quantitative framework (CCC decomposition) for evaluating progress toward this goal.</w:t>
      </w:r>
    </w:p>
    <w:p>
      <w:pPr>
        <w:pStyle w:val="Heading2"/>
      </w:pPr>
      <w:r>
        <w:rPr>
          <w:rFonts w:ascii="Times New Roman" w:hAnsi="Times New Roman"/>
          <w:color w:val="000000"/>
        </w:rPr>
        <w:t>4.5. Clinical perspective</w:t>
      </w:r>
    </w:p>
    <w:p>
      <w:pPr>
        <w:spacing w:after="120"/>
      </w:pPr>
      <w:r>
        <w:rPr>
          <w:rFonts w:ascii="Times New Roman" w:hAnsi="Times New Roman"/>
          <w:b w:val="0"/>
          <w:i w:val="0"/>
          <w:sz w:val="24"/>
        </w:rPr>
        <w:t>For practising clinicians, the immediate practical message is nuanced. Zero calibration remains essential with current fluid-filled systems and should continue to be performed rigorously, as emphasised by Saugel et al (2020) and Gupta et al (2025). However, clinicians should be aware that even perfect zeroing corrects only offset, not gain. A zeroed transducer with a 10% gain error will display SBP 132 instead of 120 and DBP 88 instead of 80—a clinically significant overestimation that would not be detected by the zeroing procedure and would appear as a widened PP (52 vs 40 mmHg) rather than a shifted baseline.</w:t>
      </w:r>
    </w:p>
    <w:p>
      <w:pPr>
        <w:spacing w:after="120"/>
      </w:pPr>
      <w:r>
        <w:rPr>
          <w:rFonts w:ascii="Times New Roman" w:hAnsi="Times New Roman"/>
          <w:b w:val="0"/>
          <w:i w:val="0"/>
          <w:sz w:val="24"/>
        </w:rPr>
        <w:t>The recognition that PP accuracy implies gain correctness also suggests a simple clinical check: if the invasively measured PP is physiologically plausible and consistent with the non-invasive cuff measurement, the sensor gain is likely correct. An implausible PP (e.g., very narrow or very wide relative to the patient’s condition) may indicate a gain problem that zeroing cannot resolve.</w:t>
      </w:r>
    </w:p>
    <w:p>
      <w:pPr>
        <w:pStyle w:val="Heading1"/>
      </w:pPr>
      <w:r>
        <w:rPr>
          <w:rFonts w:ascii="Times New Roman" w:hAnsi="Times New Roman"/>
          <w:color w:val="000000"/>
        </w:rPr>
        <w:t>5. Conclusion</w:t>
      </w:r>
    </w:p>
    <w:p>
      <w:pPr>
        <w:spacing w:after="120"/>
      </w:pPr>
      <w:r>
        <w:rPr>
          <w:rFonts w:ascii="Times New Roman" w:hAnsi="Times New Roman"/>
          <w:b w:val="0"/>
          <w:i w:val="0"/>
          <w:sz w:val="24"/>
        </w:rPr>
        <w:t>We have presented a simulation-based framework demonstrating that zero calibration of arterial pressure transducers corrects only offset (location shift, u) while leaving gain error (scale shift, v) undetected. Pulse pressure accuracy validates sensor gain, eliminating scale shift (v = 1). Catheter-tip MEMS sensors, absolute pressure measurement with barometric compensation, and self-calibrating MEMS references together eliminate all sources of DC offset (u = 0). Formalised through Lin’s CCC decomposition, this means C₂ = 1.0 is achievable by design rather than by calibration. The framework provides quantitative design targets for next-generation arterial pressure monitors, a complementary validation metric for regulatory evaluation, and a deeper understanding of what calibration does—and does not do—in physiological measurement.</w:t>
      </w:r>
    </w:p>
    <w:p>
      <w:pPr>
        <w:pStyle w:val="Heading1"/>
      </w:pPr>
      <w:r>
        <w:rPr>
          <w:rFonts w:ascii="Times New Roman" w:hAnsi="Times New Roman"/>
          <w:color w:val="000000"/>
        </w:rPr>
        <w:t>Declarations of interest</w:t>
      </w:r>
    </w:p>
    <w:p>
      <w:pPr>
        <w:spacing w:after="120"/>
      </w:pPr>
      <w:r>
        <w:rPr>
          <w:rFonts w:ascii="Times New Roman" w:hAnsi="Times New Roman"/>
          <w:b w:val="0"/>
          <w:i w:val="0"/>
          <w:sz w:val="24"/>
        </w:rPr>
        <w:t>[To be completed by authors]</w:t>
      </w:r>
    </w:p>
    <w:p>
      <w:pPr>
        <w:pStyle w:val="Heading1"/>
      </w:pPr>
      <w:r>
        <w:rPr>
          <w:rFonts w:ascii="Times New Roman" w:hAnsi="Times New Roman"/>
          <w:color w:val="000000"/>
        </w:rPr>
        <w:t>Funding</w:t>
      </w:r>
    </w:p>
    <w:p>
      <w:pPr>
        <w:spacing w:after="120"/>
      </w:pPr>
      <w:r>
        <w:rPr>
          <w:rFonts w:ascii="Times New Roman" w:hAnsi="Times New Roman"/>
          <w:b w:val="0"/>
          <w:i w:val="0"/>
          <w:sz w:val="24"/>
        </w:rPr>
        <w:t>[To be completed by authors]</w:t>
      </w:r>
    </w:p>
    <w:p>
      <w:pPr>
        <w:pStyle w:val="Heading1"/>
      </w:pPr>
      <w:r>
        <w:rPr>
          <w:rFonts w:ascii="Times New Roman" w:hAnsi="Times New Roman"/>
          <w:color w:val="000000"/>
        </w:rPr>
        <w:t>Authors’ contributions</w:t>
      </w:r>
    </w:p>
    <w:p>
      <w:pPr>
        <w:spacing w:after="120"/>
      </w:pPr>
      <w:r>
        <w:rPr>
          <w:rFonts w:ascii="Times New Roman" w:hAnsi="Times New Roman"/>
          <w:b w:val="0"/>
          <w:i w:val="0"/>
          <w:sz w:val="24"/>
        </w:rPr>
        <w:t>[To be completed by authors]</w:t>
      </w:r>
    </w:p>
    <w:p>
      <w:pPr>
        <w:pStyle w:val="Heading1"/>
      </w:pPr>
      <w:r>
        <w:rPr>
          <w:rFonts w:ascii="Times New Roman" w:hAnsi="Times New Roman"/>
          <w:color w:val="000000"/>
        </w:rPr>
        <w:t>Data availability</w:t>
      </w:r>
    </w:p>
    <w:p>
      <w:pPr>
        <w:spacing w:after="120"/>
      </w:pPr>
      <w:r>
        <w:rPr>
          <w:rFonts w:ascii="Times New Roman" w:hAnsi="Times New Roman"/>
          <w:b w:val="0"/>
          <w:i w:val="0"/>
          <w:sz w:val="24"/>
        </w:rPr>
        <w:t>All simulation code and data used to generate the figures and results in this paper are available from the corresponding author upon reasonable request.</w:t>
      </w:r>
    </w:p>
    <w:p>
      <w:pPr>
        <w:pStyle w:val="Heading1"/>
      </w:pPr>
      <w:r>
        <w:rPr>
          <w:rFonts w:ascii="Times New Roman" w:hAnsi="Times New Roman"/>
          <w:color w:val="000000"/>
        </w:rPr>
        <w:t>Acknowledgements</w:t>
      </w:r>
    </w:p>
    <w:p>
      <w:pPr>
        <w:spacing w:after="120"/>
      </w:pPr>
      <w:r>
        <w:rPr>
          <w:rFonts w:ascii="Times New Roman" w:hAnsi="Times New Roman"/>
          <w:b w:val="0"/>
          <w:i w:val="0"/>
          <w:sz w:val="24"/>
        </w:rPr>
        <w:t>[To be completed by authors]</w:t>
      </w:r>
    </w:p>
    <w:p>
      <w:r>
        <w:br w:type="page"/>
      </w:r>
    </w:p>
    <w:p>
      <w:pPr>
        <w:pStyle w:val="Heading1"/>
      </w:pPr>
      <w:r>
        <w:rPr>
          <w:rFonts w:ascii="Times New Roman" w:hAnsi="Times New Roman"/>
          <w:color w:val="000000"/>
        </w:rPr>
        <w:t>References</w:t>
      </w:r>
    </w:p>
    <w:p>
      <w:pPr>
        <w:spacing w:after="60" w:line="360" w:lineRule="auto"/>
        <w:ind w:hanging="720" w:left="720"/>
      </w:pPr>
      <w:r>
        <w:rPr>
          <w:rFonts w:ascii="Times New Roman" w:hAnsi="Times New Roman"/>
          <w:sz w:val="20"/>
        </w:rPr>
        <w:t>Ameloot K, Palmers P J and Malbrain M L N G 2015 The accuracy of noninvasive cardiac output and pressure measurements with finger cuff: a concise review Curr. Opin. Crit. Care 21 232–9</w:t>
      </w:r>
    </w:p>
    <w:p>
      <w:pPr>
        <w:spacing w:after="60" w:line="360" w:lineRule="auto"/>
        <w:ind w:hanging="720" w:left="720"/>
      </w:pPr>
      <w:r>
        <w:rPr>
          <w:rFonts w:ascii="Times New Roman" w:hAnsi="Times New Roman"/>
          <w:sz w:val="20"/>
        </w:rPr>
        <w:t>Barlian A A, Park W-T, Mallon J R, Rastegar A J and Pruitt B L 2009 Review: semiconductor piezoresistance for microsystems Proc. IEEE 97 513–52</w:t>
      </w:r>
    </w:p>
    <w:p>
      <w:pPr>
        <w:spacing w:after="60" w:line="360" w:lineRule="auto"/>
        <w:ind w:hanging="720" w:left="720"/>
      </w:pPr>
      <w:r>
        <w:rPr>
          <w:rFonts w:ascii="Times New Roman" w:hAnsi="Times New Roman"/>
          <w:sz w:val="20"/>
        </w:rPr>
        <w:t>Bland J M and Altman D G 1986 Statistical methods for assessing agreement between two methods of clinical measurement Lancet 327 307–10</w:t>
      </w:r>
    </w:p>
    <w:p>
      <w:pPr>
        <w:spacing w:after="60" w:line="360" w:lineRule="auto"/>
        <w:ind w:hanging="720" w:left="720"/>
      </w:pPr>
      <w:r>
        <w:rPr>
          <w:rFonts w:ascii="Times New Roman" w:hAnsi="Times New Roman"/>
          <w:sz w:val="20"/>
        </w:rPr>
        <w:t>Bland J M and Altman D G 1999 Measuring agreement in method comparison studies Stat. Methods Med. Res. 8 135–60</w:t>
      </w:r>
    </w:p>
    <w:p>
      <w:pPr>
        <w:spacing w:after="60" w:line="360" w:lineRule="auto"/>
        <w:ind w:hanging="720" w:left="720"/>
      </w:pPr>
      <w:r>
        <w:rPr>
          <w:rFonts w:ascii="Times New Roman" w:hAnsi="Times New Roman"/>
          <w:sz w:val="20"/>
        </w:rPr>
        <w:t>Cecconi M, Rhodes A, Poloniecki J, Della Rocca G and Grounds R M 2009 Bench-to-bedside review: the importance of the precision of the reference technique in method comparison studies Crit. Care 13 201</w:t>
      </w:r>
    </w:p>
    <w:p>
      <w:pPr>
        <w:spacing w:after="60" w:line="360" w:lineRule="auto"/>
        <w:ind w:hanging="720" w:left="720"/>
      </w:pPr>
      <w:r>
        <w:rPr>
          <w:rFonts w:ascii="Times New Roman" w:hAnsi="Times New Roman"/>
          <w:sz w:val="20"/>
        </w:rPr>
        <w:t>Chatterjee K 2009 The Swan–Ganz catheters: past, present, and future Circulation 119 147–52</w:t>
      </w:r>
    </w:p>
    <w:p>
      <w:pPr>
        <w:spacing w:after="60" w:line="360" w:lineRule="auto"/>
        <w:ind w:hanging="720" w:left="720"/>
      </w:pPr>
      <w:r>
        <w:rPr>
          <w:rFonts w:ascii="Times New Roman" w:hAnsi="Times New Roman"/>
          <w:sz w:val="20"/>
        </w:rPr>
        <w:t>Critchley L A H and Critchley J A J H 1999 A meta-analysis of studies using bias and precision statistics to compare cardiac output measurement techniques J. Clin. Monit. Comput. 15 85–91</w:t>
      </w:r>
    </w:p>
    <w:p>
      <w:pPr>
        <w:spacing w:after="60" w:line="360" w:lineRule="auto"/>
        <w:ind w:hanging="720" w:left="720"/>
      </w:pPr>
      <w:r>
        <w:rPr>
          <w:rFonts w:ascii="Times New Roman" w:hAnsi="Times New Roman"/>
          <w:sz w:val="20"/>
        </w:rPr>
        <w:t>Critchley L A, Lee A and Ho A M-H 2010 A critical review of the ability of continuous cardiac output monitors to measure trends in cardiac output Anesth. Analg. 111 1180–92</w:t>
      </w:r>
    </w:p>
    <w:p>
      <w:pPr>
        <w:spacing w:after="60" w:line="360" w:lineRule="auto"/>
        <w:ind w:hanging="720" w:left="720"/>
      </w:pPr>
      <w:r>
        <w:rPr>
          <w:rFonts w:ascii="Times New Roman" w:hAnsi="Times New Roman"/>
          <w:sz w:val="20"/>
        </w:rPr>
        <w:t>Critchley L A, Yang X X and Lee A 2011 Assessment of trending ability of cardiac output monitors by polar plot methodology J. Cardiothorac. Vasc. Anesth. 25 536–46</w:t>
      </w:r>
    </w:p>
    <w:p>
      <w:pPr>
        <w:spacing w:after="60" w:line="360" w:lineRule="auto"/>
        <w:ind w:hanging="720" w:left="720"/>
      </w:pPr>
      <w:r>
        <w:rPr>
          <w:rFonts w:ascii="Times New Roman" w:hAnsi="Times New Roman"/>
          <w:sz w:val="20"/>
        </w:rPr>
        <w:t>FDA (U.S. Food and Drug Administration) 2026 Premarket Notification 510(k) https://www.fda.gov/medical-devices/premarket-submissions-selecting-and-preparing-correct-submission/premarket-notification-510k (accessed 25 March 2026)</w:t>
      </w:r>
    </w:p>
    <w:p>
      <w:pPr>
        <w:spacing w:after="60" w:line="360" w:lineRule="auto"/>
        <w:ind w:hanging="720" w:left="720"/>
      </w:pPr>
      <w:r>
        <w:rPr>
          <w:rFonts w:ascii="Times New Roman" w:hAnsi="Times New Roman"/>
          <w:sz w:val="20"/>
        </w:rPr>
        <w:t>Gupta D, Jain A and Ismaeil M 2025 Zero arterial catheters with every change in the height difference of pressure transducer and catheter insertion site Ann. Card. Anaesth. 28 205</w:t>
      </w:r>
    </w:p>
    <w:p>
      <w:pPr>
        <w:spacing w:after="60" w:line="360" w:lineRule="auto"/>
        <w:ind w:hanging="720" w:left="720"/>
      </w:pPr>
      <w:r>
        <w:rPr>
          <w:rFonts w:ascii="Times New Roman" w:hAnsi="Times New Roman"/>
          <w:sz w:val="20"/>
        </w:rPr>
        <w:t>Hasenkamp W, Theumer T, Nolte J, Aschenbrenner L, Dietzel A and Büttgenbach S 2012 Polyimide/SU-8 catheter-tip MEMS gauge pressure sensor Biomed. Microdevices 14 819–28</w:t>
      </w:r>
    </w:p>
    <w:p>
      <w:pPr>
        <w:spacing w:after="60" w:line="360" w:lineRule="auto"/>
        <w:ind w:hanging="720" w:left="720"/>
      </w:pPr>
      <w:r>
        <w:rPr>
          <w:rFonts w:ascii="Times New Roman" w:hAnsi="Times New Roman"/>
          <w:sz w:val="20"/>
        </w:rPr>
        <w:t>Joosten A, Desebbe O, Suehiro K, Murphy L S-L, Essber H, Alexander B, Fischer M O, Barvais L, Van Obbergh L, Maucort-Boulch D and Cannesson M 2017 Accuracy and precision of non-invasive cardiac output monitoring devices in perioperative medicine: a systematic review and meta-analysis Br. J. Anaesth. 118 298–310</w:t>
      </w:r>
    </w:p>
    <w:p>
      <w:pPr>
        <w:spacing w:after="60" w:line="360" w:lineRule="auto"/>
        <w:ind w:hanging="720" w:left="720"/>
      </w:pPr>
      <w:r>
        <w:rPr>
          <w:rFonts w:ascii="Times New Roman" w:hAnsi="Times New Roman"/>
          <w:sz w:val="20"/>
        </w:rPr>
        <w:t>Kang Y, Ge C, Hu Y, Gao J, Zhong M, Du H and Wang S 2022 Development of a flexible integrated self-calibrating MEMS pressure sensor using a liquid-to-vapor phase change Sensors 22 9737</w:t>
      </w:r>
    </w:p>
    <w:p>
      <w:pPr>
        <w:spacing w:after="60" w:line="360" w:lineRule="auto"/>
        <w:ind w:hanging="720" w:left="720"/>
      </w:pPr>
      <w:r>
        <w:rPr>
          <w:rFonts w:ascii="Times New Roman" w:hAnsi="Times New Roman"/>
          <w:sz w:val="20"/>
        </w:rPr>
        <w:t>Kim S-H, Lilot M, Sidhu K S, Rinehart J, Cannesson M, Joosten A and Lee C 2014 Accuracy and precision of continuous noninvasive arterial pressure monitoring compared with invasive arterial pressure Anesthesiology 120 1080–97</w:t>
      </w:r>
    </w:p>
    <w:p>
      <w:pPr>
        <w:spacing w:after="60" w:line="360" w:lineRule="auto"/>
        <w:ind w:hanging="720" w:left="720"/>
      </w:pPr>
      <w:r>
        <w:rPr>
          <w:rFonts w:ascii="Times New Roman" w:hAnsi="Times New Roman"/>
          <w:sz w:val="20"/>
        </w:rPr>
        <w:t>Lin L I-K 1989 A concordance correlation coefficient to evaluate reproducibility Biometrics 45 255–68</w:t>
      </w:r>
    </w:p>
    <w:p>
      <w:pPr>
        <w:spacing w:after="60" w:line="360" w:lineRule="auto"/>
        <w:ind w:hanging="720" w:left="720"/>
      </w:pPr>
      <w:r>
        <w:rPr>
          <w:rFonts w:ascii="Times New Roman" w:hAnsi="Times New Roman"/>
          <w:sz w:val="20"/>
        </w:rPr>
        <w:t>Lin L I-K 2000 A note on the concordance correlation coefficient Biometrics 56 324–5</w:t>
      </w:r>
    </w:p>
    <w:p>
      <w:pPr>
        <w:spacing w:after="60" w:line="360" w:lineRule="auto"/>
        <w:ind w:hanging="720" w:left="720"/>
      </w:pPr>
      <w:r>
        <w:rPr>
          <w:rFonts w:ascii="Times New Roman" w:hAnsi="Times New Roman"/>
          <w:sz w:val="20"/>
        </w:rPr>
        <w:t>Manecke G R 2005 Edwards FloTrac sensor and Vigileo monitor: easy, accurate, reliable cardiac output assessment using the arterial pulse wave Expert Rev. Med. Devices 2 523–7</w:t>
      </w:r>
    </w:p>
    <w:p>
      <w:pPr>
        <w:spacing w:after="60" w:line="360" w:lineRule="auto"/>
        <w:ind w:hanging="720" w:left="720"/>
      </w:pPr>
      <w:r>
        <w:rPr>
          <w:rFonts w:ascii="Times New Roman" w:hAnsi="Times New Roman"/>
          <w:sz w:val="20"/>
        </w:rPr>
        <w:t>Mark J B 1998 Atlas of Cardiovascular Monitoring (New York: Churchill Livingstone)</w:t>
      </w:r>
    </w:p>
    <w:p>
      <w:pPr>
        <w:spacing w:after="60" w:line="360" w:lineRule="auto"/>
        <w:ind w:hanging="720" w:left="720"/>
      </w:pPr>
      <w:r>
        <w:rPr>
          <w:rFonts w:ascii="Times New Roman" w:hAnsi="Times New Roman"/>
          <w:sz w:val="20"/>
        </w:rPr>
        <w:t>McBride G B 2005 A proposal for strength-of-agreement criteria for Lin’s concordance correlation coefficient NIWA Client Report HAM2005-062</w:t>
      </w:r>
    </w:p>
    <w:p>
      <w:pPr>
        <w:spacing w:after="60" w:line="360" w:lineRule="auto"/>
        <w:ind w:hanging="720" w:left="720"/>
      </w:pPr>
      <w:r>
        <w:rPr>
          <w:rFonts w:ascii="Times New Roman" w:hAnsi="Times New Roman"/>
          <w:sz w:val="20"/>
        </w:rPr>
        <w:t>McGhee B H and Bridges M E J 2002 Monitoring arterial blood pressure: what you may not know Crit. Care Nurse 22 60–79</w:t>
      </w:r>
    </w:p>
    <w:p>
      <w:pPr>
        <w:spacing w:after="60" w:line="360" w:lineRule="auto"/>
        <w:ind w:hanging="720" w:left="720"/>
      </w:pPr>
      <w:r>
        <w:rPr>
          <w:rFonts w:ascii="Times New Roman" w:hAnsi="Times New Roman"/>
          <w:sz w:val="20"/>
        </w:rPr>
        <w:t>Millar, Inc. 2026 Mikro-Cath Pressure Catheter – Product Information https://millar.com/Clinical/MikroCath/ (accessed 25 March 2026)</w:t>
      </w:r>
    </w:p>
    <w:p>
      <w:pPr>
        <w:spacing w:after="60" w:line="360" w:lineRule="auto"/>
        <w:ind w:hanging="720" w:left="720"/>
      </w:pPr>
      <w:r>
        <w:rPr>
          <w:rFonts w:ascii="Times New Roman" w:hAnsi="Times New Roman"/>
          <w:sz w:val="20"/>
        </w:rPr>
        <w:t>Millar, Inc. 2026b TiSense – Chronic Pressure Sensing https://millar.com/Clinical/MikroCath/Continuous-Compartment-Pressure-Measurements/ (accessed 25 March 2026)</w:t>
      </w:r>
    </w:p>
    <w:p>
      <w:pPr>
        <w:spacing w:after="60" w:line="360" w:lineRule="auto"/>
        <w:ind w:hanging="720" w:left="720"/>
      </w:pPr>
      <w:r>
        <w:rPr>
          <w:rFonts w:ascii="Times New Roman" w:hAnsi="Times New Roman"/>
          <w:sz w:val="20"/>
        </w:rPr>
        <w:t>Odor P M, Bampoe S and Cecconi M 2017 Cardiac output monitoring: validation studies—how results should be presented Curr. Anesthesiol. Rep. 7 410–15</w:t>
      </w:r>
    </w:p>
    <w:p>
      <w:pPr>
        <w:spacing w:after="60" w:line="360" w:lineRule="auto"/>
        <w:ind w:hanging="720" w:left="720"/>
      </w:pPr>
      <w:r>
        <w:rPr>
          <w:rFonts w:ascii="Times New Roman" w:hAnsi="Times New Roman"/>
          <w:sz w:val="20"/>
        </w:rPr>
        <w:t>Romagnoli S, Ricci Z, Romano S M, Dimizio F, Bonicolini E, Quattrone D, De Gaudio A R and Grasso S 2013 FloTrac/Vigileo (third generation) and MostCare/PRAM versus echocardiography for cardiac output estimation in vascular surgery J. Cardiothorac. Vasc. Anesth. 27 1114–21</w:t>
      </w:r>
    </w:p>
    <w:p>
      <w:pPr>
        <w:spacing w:after="60" w:line="360" w:lineRule="auto"/>
        <w:ind w:hanging="720" w:left="720"/>
      </w:pPr>
      <w:r>
        <w:rPr>
          <w:rFonts w:ascii="Times New Roman" w:hAnsi="Times New Roman"/>
          <w:sz w:val="20"/>
        </w:rPr>
        <w:t>Saugel B, Kouz K, Meidert A S, Schulte-Uentrop L and Romagnoli S 2020 How to measure blood pressure using an arterial catheter: a systematic 5-step approach Crit. Care 24 172</w:t>
      </w:r>
    </w:p>
    <w:p>
      <w:pPr>
        <w:spacing w:after="60" w:line="360" w:lineRule="auto"/>
        <w:ind w:hanging="720" w:left="720"/>
      </w:pPr>
      <w:r>
        <w:rPr>
          <w:rFonts w:ascii="Times New Roman" w:hAnsi="Times New Roman"/>
          <w:sz w:val="20"/>
        </w:rPr>
        <w:t>Saugel B and Sessler D I 2021 Perioperative blood pressure management Anesthesiology 134 250–61</w:t>
      </w:r>
    </w:p>
    <w:p>
      <w:pPr>
        <w:spacing w:after="60" w:line="360" w:lineRule="auto"/>
        <w:ind w:hanging="720" w:left="720"/>
      </w:pPr>
      <w:r>
        <w:rPr>
          <w:rFonts w:ascii="Times New Roman" w:hAnsi="Times New Roman"/>
          <w:sz w:val="20"/>
        </w:rPr>
        <w:t>Scalia A, Ghafari C, Navarre W, Delmotte P, Phillips R and Carlier S 2023 High fidelity pressure wires provide accurate validation of non-invasive central blood pressure and pulse wave velocity measurements Biomedicines 11 1235</w:t>
      </w:r>
    </w:p>
    <w:p>
      <w:pPr>
        <w:spacing w:after="60" w:line="360" w:lineRule="auto"/>
        <w:ind w:hanging="720" w:left="720"/>
      </w:pPr>
      <w:r>
        <w:rPr>
          <w:rFonts w:ascii="Times New Roman" w:hAnsi="Times New Roman"/>
          <w:sz w:val="20"/>
        </w:rPr>
        <w:t>Song P, Ma Z, Ma J, Yang L, Wei J, Zhao Y, Zhang M, Yang F and Wang X 2020 Recent progress of miniature MEMS pressure sensors Micromachines 11 56</w:t>
      </w:r>
    </w:p>
    <w:p>
      <w:pPr>
        <w:spacing w:after="60" w:line="360" w:lineRule="auto"/>
        <w:ind w:hanging="720" w:left="720"/>
      </w:pPr>
      <w:r>
        <w:rPr>
          <w:rFonts w:ascii="Times New Roman" w:hAnsi="Times New Roman"/>
          <w:sz w:val="20"/>
        </w:rPr>
        <w:t>Squara P, Denjean D, Estagnasie P, Brusset A, Dib J C and Dubois C 2007 Noninvasive cardiac output monitoring (NICOM): a clinical validation Intensive Care Med. 33 1191–4</w:t>
      </w:r>
    </w:p>
    <w:p>
      <w:r>
        <w:br w:type="page"/>
      </w:r>
    </w:p>
    <w:p>
      <w:pPr>
        <w:pStyle w:val="Heading1"/>
      </w:pPr>
      <w:r>
        <w:rPr>
          <w:rFonts w:ascii="Times New Roman" w:hAnsi="Times New Roman"/>
          <w:color w:val="000000"/>
        </w:rPr>
        <w:t>Table 1</w:t>
      </w:r>
    </w:p>
    <w:p>
      <w:pPr>
        <w:spacing w:after="120"/>
      </w:pPr>
      <w:r>
        <w:rPr>
          <w:rFonts w:ascii="Times New Roman" w:hAnsi="Times New Roman"/>
          <w:b/>
          <w:i/>
          <w:sz w:val="24"/>
        </w:rPr>
        <w:t>Table 1. Sources of DC offset in conventional arterial pressure monitoring and engineering solutions for their elimination.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Offset source</w:t>
            </w:r>
          </w:p>
        </w:tc>
        <w:tc>
          <w:tcPr>
            <w:tcW w:type="dxa" w:w="1872"/>
          </w:tcPr>
          <w:p>
            <w:r>
              <w:rPr>
                <w:rFonts w:ascii="Times New Roman" w:hAnsi="Times New Roman"/>
                <w:b/>
                <w:sz w:val="18"/>
              </w:rPr>
              <w:t>Physical mechanism</w:t>
            </w:r>
          </w:p>
        </w:tc>
        <w:tc>
          <w:tcPr>
            <w:tcW w:type="dxa" w:w="1872"/>
          </w:tcPr>
          <w:p>
            <w:r>
              <w:rPr>
                <w:rFonts w:ascii="Times New Roman" w:hAnsi="Times New Roman"/>
                <w:b/>
                <w:sz w:val="18"/>
              </w:rPr>
              <w:t>Magnitude</w:t>
            </w:r>
          </w:p>
        </w:tc>
        <w:tc>
          <w:tcPr>
            <w:tcW w:type="dxa" w:w="1872"/>
          </w:tcPr>
          <w:p>
            <w:r>
              <w:rPr>
                <w:rFonts w:ascii="Times New Roman" w:hAnsi="Times New Roman"/>
                <w:b/>
                <w:sz w:val="18"/>
              </w:rPr>
              <w:t>Engineering solution</w:t>
            </w:r>
          </w:p>
        </w:tc>
        <w:tc>
          <w:tcPr>
            <w:tcW w:type="dxa" w:w="1872"/>
          </w:tcPr>
          <w:p>
            <w:r>
              <w:rPr>
                <w:rFonts w:ascii="Times New Roman" w:hAnsi="Times New Roman"/>
                <w:b/>
                <w:sz w:val="18"/>
              </w:rPr>
              <w:t>CCC component affected</w:t>
            </w:r>
          </w:p>
        </w:tc>
      </w:tr>
      <w:tr>
        <w:tc>
          <w:tcPr>
            <w:tcW w:type="dxa" w:w="1872"/>
          </w:tcPr>
          <w:p>
            <w:r>
              <w:rPr>
                <w:rFonts w:ascii="Times New Roman" w:hAnsi="Times New Roman"/>
                <w:sz w:val="16"/>
              </w:rPr>
              <w:t>Hydrostatic column</w:t>
            </w:r>
          </w:p>
        </w:tc>
        <w:tc>
          <w:tcPr>
            <w:tcW w:type="dxa" w:w="1872"/>
          </w:tcPr>
          <w:p>
            <w:r>
              <w:rPr>
                <w:rFonts w:ascii="Times New Roman" w:hAnsi="Times New Roman"/>
                <w:sz w:val="16"/>
              </w:rPr>
              <w:t>ΔP = ρgh (height difference between transducer and catheter tip)</w:t>
            </w:r>
          </w:p>
        </w:tc>
        <w:tc>
          <w:tcPr>
            <w:tcW w:type="dxa" w:w="1872"/>
          </w:tcPr>
          <w:p>
            <w:r>
              <w:rPr>
                <w:rFonts w:ascii="Times New Roman" w:hAnsi="Times New Roman"/>
                <w:sz w:val="16"/>
              </w:rPr>
              <w:t>~0.74 mmHg/cm</w:t>
            </w:r>
          </w:p>
        </w:tc>
        <w:tc>
          <w:tcPr>
            <w:tcW w:type="dxa" w:w="1872"/>
          </w:tcPr>
          <w:p>
            <w:r>
              <w:rPr>
                <w:rFonts w:ascii="Times New Roman" w:hAnsi="Times New Roman"/>
                <w:sz w:val="16"/>
              </w:rPr>
              <w:t>Catheter-tip MEMS sensor (eliminates fluid column)</w:t>
            </w:r>
          </w:p>
        </w:tc>
        <w:tc>
          <w:tcPr>
            <w:tcW w:type="dxa" w:w="1872"/>
          </w:tcPr>
          <w:p>
            <w:r>
              <w:rPr>
                <w:rFonts w:ascii="Times New Roman" w:hAnsi="Times New Roman"/>
                <w:sz w:val="16"/>
              </w:rPr>
              <w:t>Reduces u (location shift)</w:t>
            </w:r>
          </w:p>
        </w:tc>
      </w:tr>
      <w:tr>
        <w:tc>
          <w:tcPr>
            <w:tcW w:type="dxa" w:w="1872"/>
          </w:tcPr>
          <w:p>
            <w:r>
              <w:rPr>
                <w:rFonts w:ascii="Times New Roman" w:hAnsi="Times New Roman"/>
                <w:sz w:val="16"/>
              </w:rPr>
              <w:t>Atmospheric pressure reference</w:t>
            </w:r>
          </w:p>
        </w:tc>
        <w:tc>
          <w:tcPr>
            <w:tcW w:type="dxa" w:w="1872"/>
          </w:tcPr>
          <w:p>
            <w:r>
              <w:rPr>
                <w:rFonts w:ascii="Times New Roman" w:hAnsi="Times New Roman"/>
                <w:sz w:val="16"/>
              </w:rPr>
              <w:t>Gauge pressure measured relative to atmosphere (~760 mmHg)</w:t>
            </w:r>
          </w:p>
        </w:tc>
        <w:tc>
          <w:tcPr>
            <w:tcW w:type="dxa" w:w="1872"/>
          </w:tcPr>
          <w:p>
            <w:r>
              <w:rPr>
                <w:rFonts w:ascii="Times New Roman" w:hAnsi="Times New Roman"/>
                <w:sz w:val="16"/>
              </w:rPr>
              <w:t>Entire baseline</w:t>
            </w:r>
          </w:p>
        </w:tc>
        <w:tc>
          <w:tcPr>
            <w:tcW w:type="dxa" w:w="1872"/>
          </w:tcPr>
          <w:p>
            <w:r>
              <w:rPr>
                <w:rFonts w:ascii="Times New Roman" w:hAnsi="Times New Roman"/>
                <w:sz w:val="16"/>
              </w:rPr>
              <w:t>Absolute pressure sensor + built-in barometer for electronic subtraction</w:t>
            </w:r>
          </w:p>
        </w:tc>
        <w:tc>
          <w:tcPr>
            <w:tcW w:type="dxa" w:w="1872"/>
          </w:tcPr>
          <w:p>
            <w:r>
              <w:rPr>
                <w:rFonts w:ascii="Times New Roman" w:hAnsi="Times New Roman"/>
                <w:sz w:val="16"/>
              </w:rPr>
              <w:t>Reduces u (location shift)</w:t>
            </w:r>
          </w:p>
        </w:tc>
      </w:tr>
      <w:tr>
        <w:tc>
          <w:tcPr>
            <w:tcW w:type="dxa" w:w="1872"/>
          </w:tcPr>
          <w:p>
            <w:r>
              <w:rPr>
                <w:rFonts w:ascii="Times New Roman" w:hAnsi="Times New Roman"/>
                <w:sz w:val="16"/>
              </w:rPr>
              <w:t>Transducer drift</w:t>
            </w:r>
          </w:p>
        </w:tc>
        <w:tc>
          <w:tcPr>
            <w:tcW w:type="dxa" w:w="1872"/>
          </w:tcPr>
          <w:p>
            <w:r>
              <w:rPr>
                <w:rFonts w:ascii="Times New Roman" w:hAnsi="Times New Roman"/>
                <w:sz w:val="16"/>
              </w:rPr>
              <w:t>Mechanical creep, thermal effects in strain gauge</w:t>
            </w:r>
          </w:p>
        </w:tc>
        <w:tc>
          <w:tcPr>
            <w:tcW w:type="dxa" w:w="1872"/>
          </w:tcPr>
          <w:p>
            <w:r>
              <w:rPr>
                <w:rFonts w:ascii="Times New Roman" w:hAnsi="Times New Roman"/>
                <w:sz w:val="16"/>
              </w:rPr>
              <w:t>~1–5 mmHg/day</w:t>
            </w:r>
          </w:p>
        </w:tc>
        <w:tc>
          <w:tcPr>
            <w:tcW w:type="dxa" w:w="1872"/>
          </w:tcPr>
          <w:p>
            <w:r>
              <w:rPr>
                <w:rFonts w:ascii="Times New Roman" w:hAnsi="Times New Roman"/>
                <w:sz w:val="16"/>
              </w:rPr>
              <w:t>Self-calibrating MEMS with internal reference pressure cavity</w:t>
            </w:r>
          </w:p>
        </w:tc>
        <w:tc>
          <w:tcPr>
            <w:tcW w:type="dxa" w:w="1872"/>
          </w:tcPr>
          <w:p>
            <w:r>
              <w:rPr>
                <w:rFonts w:ascii="Times New Roman" w:hAnsi="Times New Roman"/>
                <w:sz w:val="16"/>
              </w:rPr>
              <w:t>Reduces u (location shift)</w:t>
            </w:r>
          </w:p>
        </w:tc>
      </w:tr>
      <w:tr>
        <w:tc>
          <w:tcPr>
            <w:tcW w:type="dxa" w:w="1872"/>
          </w:tcPr>
          <w:p>
            <w:r>
              <w:rPr>
                <w:rFonts w:ascii="Times New Roman" w:hAnsi="Times New Roman"/>
                <w:sz w:val="16"/>
              </w:rPr>
              <w:t>Gain error (NOT corrected by zeroing)</w:t>
            </w:r>
          </w:p>
        </w:tc>
        <w:tc>
          <w:tcPr>
            <w:tcW w:type="dxa" w:w="1872"/>
          </w:tcPr>
          <w:p>
            <w:r>
              <w:rPr>
                <w:rFonts w:ascii="Times New Roman" w:hAnsi="Times New Roman"/>
                <w:sz w:val="16"/>
              </w:rPr>
              <w:t>Sensitivity mismatch: output per unit pressure ≠ nominal</w:t>
            </w:r>
          </w:p>
        </w:tc>
        <w:tc>
          <w:tcPr>
            <w:tcW w:type="dxa" w:w="1872"/>
          </w:tcPr>
          <w:p>
            <w:r>
              <w:rPr>
                <w:rFonts w:ascii="Times New Roman" w:hAnsi="Times New Roman"/>
                <w:sz w:val="16"/>
              </w:rPr>
              <w:t>1–15% typical</w:t>
            </w:r>
          </w:p>
        </w:tc>
        <w:tc>
          <w:tcPr>
            <w:tcW w:type="dxa" w:w="1872"/>
          </w:tcPr>
          <w:p>
            <w:r>
              <w:rPr>
                <w:rFonts w:ascii="Times New Roman" w:hAnsi="Times New Roman"/>
                <w:sz w:val="16"/>
              </w:rPr>
              <w:t>Factory calibration; PP accuracy as implicit gain check</w:t>
            </w:r>
          </w:p>
        </w:tc>
        <w:tc>
          <w:tcPr>
            <w:tcW w:type="dxa" w:w="1872"/>
          </w:tcPr>
          <w:p>
            <w:r>
              <w:rPr>
                <w:rFonts w:ascii="Times New Roman" w:hAnsi="Times New Roman"/>
                <w:sz w:val="16"/>
              </w:rPr>
              <w:t>Affects v (scale shift); zeroing has no effect</w:t>
            </w:r>
          </w:p>
        </w:tc>
      </w:tr>
    </w:tbl>
    <w:p>
      <w:r>
        <w:br w:type="page"/>
      </w:r>
    </w:p>
    <w:p>
      <w:pPr>
        <w:pStyle w:val="Heading1"/>
      </w:pPr>
      <w:r>
        <w:rPr>
          <w:rFonts w:ascii="Times New Roman" w:hAnsi="Times New Roman"/>
          <w:color w:val="000000"/>
        </w:rPr>
        <w:t>Table 2</w:t>
      </w:r>
    </w:p>
    <w:p>
      <w:pPr>
        <w:spacing w:after="120"/>
      </w:pPr>
      <w:r>
        <w:rPr>
          <w:rFonts w:ascii="Times New Roman" w:hAnsi="Times New Roman"/>
          <w:b/>
          <w:i/>
          <w:sz w:val="24"/>
        </w:rPr>
        <w:t>Table 2. Comparison of statistical metrics across four simulated scenarios (n = 150 paired measurements).</w:t>
      </w:r>
    </w:p>
    <w:tbl>
      <w:tblPr>
        <w:tblStyle w:val="LightGrid-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b/>
                <w:sz w:val="16"/>
              </w:rPr>
              <w:t>Scenario</w:t>
            </w:r>
          </w:p>
        </w:tc>
        <w:tc>
          <w:tcPr>
            <w:tcW w:type="dxa" w:w="936"/>
          </w:tcPr>
          <w:p>
            <w:r>
              <w:rPr>
                <w:rFonts w:ascii="Times New Roman" w:hAnsi="Times New Roman"/>
                <w:b/>
                <w:sz w:val="16"/>
              </w:rPr>
              <w:t>CCC</w:t>
            </w:r>
          </w:p>
        </w:tc>
        <w:tc>
          <w:tcPr>
            <w:tcW w:type="dxa" w:w="936"/>
          </w:tcPr>
          <w:p>
            <w:r>
              <w:rPr>
                <w:rFonts w:ascii="Times New Roman" w:hAnsi="Times New Roman"/>
                <w:b/>
                <w:sz w:val="16"/>
              </w:rPr>
              <w:t>r</w:t>
            </w:r>
          </w:p>
        </w:tc>
        <w:tc>
          <w:tcPr>
            <w:tcW w:type="dxa" w:w="936"/>
          </w:tcPr>
          <w:p>
            <w:r>
              <w:rPr>
                <w:rFonts w:ascii="Times New Roman" w:hAnsi="Times New Roman"/>
                <w:b/>
                <w:sz w:val="16"/>
              </w:rPr>
              <w:t>C₂</w:t>
            </w:r>
          </w:p>
        </w:tc>
        <w:tc>
          <w:tcPr>
            <w:tcW w:type="dxa" w:w="936"/>
          </w:tcPr>
          <w:p>
            <w:r>
              <w:rPr>
                <w:rFonts w:ascii="Times New Roman" w:hAnsi="Times New Roman"/>
                <w:b/>
                <w:sz w:val="16"/>
              </w:rPr>
              <w:t>u</w:t>
            </w:r>
          </w:p>
        </w:tc>
        <w:tc>
          <w:tcPr>
            <w:tcW w:type="dxa" w:w="936"/>
          </w:tcPr>
          <w:p>
            <w:r>
              <w:rPr>
                <w:rFonts w:ascii="Times New Roman" w:hAnsi="Times New Roman"/>
                <w:b/>
                <w:sz w:val="16"/>
              </w:rPr>
              <w:t>v</w:t>
            </w:r>
          </w:p>
        </w:tc>
        <w:tc>
          <w:tcPr>
            <w:tcW w:type="dxa" w:w="936"/>
          </w:tcPr>
          <w:p>
            <w:r>
              <w:rPr>
                <w:rFonts w:ascii="Times New Roman" w:hAnsi="Times New Roman"/>
                <w:b/>
                <w:sz w:val="16"/>
              </w:rPr>
              <w:t>Bias</w:t>
              <w:br/>
              <w:t>(mmHg)</w:t>
            </w:r>
          </w:p>
        </w:tc>
        <w:tc>
          <w:tcPr>
            <w:tcW w:type="dxa" w:w="936"/>
          </w:tcPr>
          <w:p>
            <w:r>
              <w:rPr>
                <w:rFonts w:ascii="Times New Roman" w:hAnsi="Times New Roman"/>
                <w:b/>
                <w:sz w:val="16"/>
              </w:rPr>
              <w:t>LoA lower</w:t>
              <w:br/>
              <w:t>(mmHg)</w:t>
            </w:r>
          </w:p>
        </w:tc>
        <w:tc>
          <w:tcPr>
            <w:tcW w:type="dxa" w:w="936"/>
          </w:tcPr>
          <w:p>
            <w:r>
              <w:rPr>
                <w:rFonts w:ascii="Times New Roman" w:hAnsi="Times New Roman"/>
                <w:b/>
                <w:sz w:val="16"/>
              </w:rPr>
              <w:t>LoA upper</w:t>
              <w:br/>
              <w:t>(mmHg)</w:t>
            </w:r>
          </w:p>
        </w:tc>
        <w:tc>
          <w:tcPr>
            <w:tcW w:type="dxa" w:w="936"/>
          </w:tcPr>
          <w:p>
            <w:r>
              <w:rPr>
                <w:rFonts w:ascii="Times New Roman" w:hAnsi="Times New Roman"/>
                <w:b/>
                <w:sz w:val="16"/>
              </w:rPr>
              <w:t>PE (%)</w:t>
            </w:r>
          </w:p>
        </w:tc>
      </w:tr>
      <w:tr>
        <w:tc>
          <w:tcPr>
            <w:tcW w:type="dxa" w:w="936"/>
          </w:tcPr>
          <w:p>
            <w:r>
              <w:rPr>
                <w:rFonts w:ascii="Times New Roman" w:hAnsi="Times New Roman"/>
                <w:sz w:val="16"/>
              </w:rPr>
              <w:t>A: Before zeroing</w:t>
            </w:r>
          </w:p>
        </w:tc>
        <w:tc>
          <w:tcPr>
            <w:tcW w:type="dxa" w:w="936"/>
          </w:tcPr>
          <w:p>
            <w:r>
              <w:rPr>
                <w:rFonts w:ascii="Times New Roman" w:hAnsi="Times New Roman"/>
                <w:sz w:val="16"/>
              </w:rPr>
              <w:t>0.855</w:t>
            </w:r>
          </w:p>
        </w:tc>
        <w:tc>
          <w:tcPr>
            <w:tcW w:type="dxa" w:w="936"/>
          </w:tcPr>
          <w:p>
            <w:r>
              <w:rPr>
                <w:rFonts w:ascii="Times New Roman" w:hAnsi="Times New Roman"/>
                <w:sz w:val="16"/>
              </w:rPr>
              <w:t>0.986</w:t>
            </w:r>
          </w:p>
        </w:tc>
        <w:tc>
          <w:tcPr>
            <w:tcW w:type="dxa" w:w="936"/>
          </w:tcPr>
          <w:p>
            <w:r>
              <w:rPr>
                <w:rFonts w:ascii="Times New Roman" w:hAnsi="Times New Roman"/>
                <w:sz w:val="16"/>
              </w:rPr>
              <w:t>0.867</w:t>
            </w:r>
          </w:p>
        </w:tc>
        <w:tc>
          <w:tcPr>
            <w:tcW w:type="dxa" w:w="936"/>
          </w:tcPr>
          <w:p>
            <w:r>
              <w:rPr>
                <w:rFonts w:ascii="Times New Roman" w:hAnsi="Times New Roman"/>
                <w:sz w:val="16"/>
              </w:rPr>
              <w:t>–0.55</w:t>
            </w:r>
          </w:p>
        </w:tc>
        <w:tc>
          <w:tcPr>
            <w:tcW w:type="dxa" w:w="936"/>
          </w:tcPr>
          <w:p>
            <w:r>
              <w:rPr>
                <w:rFonts w:ascii="Times New Roman" w:hAnsi="Times New Roman"/>
                <w:sz w:val="16"/>
              </w:rPr>
              <w:t>0.99</w:t>
            </w:r>
          </w:p>
        </w:tc>
        <w:tc>
          <w:tcPr>
            <w:tcW w:type="dxa" w:w="936"/>
          </w:tcPr>
          <w:p>
            <w:r>
              <w:rPr>
                <w:rFonts w:ascii="Times New Roman" w:hAnsi="Times New Roman"/>
                <w:sz w:val="16"/>
              </w:rPr>
              <w:t>11.9</w:t>
            </w:r>
          </w:p>
        </w:tc>
        <w:tc>
          <w:tcPr>
            <w:tcW w:type="dxa" w:w="936"/>
          </w:tcPr>
          <w:p>
            <w:r>
              <w:rPr>
                <w:rFonts w:ascii="Times New Roman" w:hAnsi="Times New Roman"/>
                <w:sz w:val="16"/>
              </w:rPr>
              <w:t>4.8</w:t>
            </w:r>
          </w:p>
        </w:tc>
        <w:tc>
          <w:tcPr>
            <w:tcW w:type="dxa" w:w="936"/>
          </w:tcPr>
          <w:p>
            <w:r>
              <w:rPr>
                <w:rFonts w:ascii="Times New Roman" w:hAnsi="Times New Roman"/>
                <w:sz w:val="16"/>
              </w:rPr>
              <w:t>19.0</w:t>
            </w:r>
          </w:p>
        </w:tc>
        <w:tc>
          <w:tcPr>
            <w:tcW w:type="dxa" w:w="936"/>
          </w:tcPr>
          <w:p>
            <w:r>
              <w:rPr>
                <w:rFonts w:ascii="Times New Roman" w:hAnsi="Times New Roman"/>
                <w:sz w:val="16"/>
              </w:rPr>
              <w:t>7.2</w:t>
            </w:r>
          </w:p>
        </w:tc>
      </w:tr>
      <w:tr>
        <w:tc>
          <w:tcPr>
            <w:tcW w:type="dxa" w:w="936"/>
          </w:tcPr>
          <w:p>
            <w:r>
              <w:rPr>
                <w:rFonts w:ascii="Times New Roman" w:hAnsi="Times New Roman"/>
                <w:sz w:val="16"/>
              </w:rPr>
              <w:t>B: After zeroing</w:t>
            </w:r>
          </w:p>
        </w:tc>
        <w:tc>
          <w:tcPr>
            <w:tcW w:type="dxa" w:w="936"/>
          </w:tcPr>
          <w:p>
            <w:r>
              <w:rPr>
                <w:rFonts w:ascii="Times New Roman" w:hAnsi="Times New Roman"/>
                <w:sz w:val="16"/>
              </w:rPr>
              <w:t>0.986</w:t>
            </w:r>
          </w:p>
        </w:tc>
        <w:tc>
          <w:tcPr>
            <w:tcW w:type="dxa" w:w="936"/>
          </w:tcPr>
          <w:p>
            <w:r>
              <w:rPr>
                <w:rFonts w:ascii="Times New Roman" w:hAnsi="Times New Roman"/>
                <w:sz w:val="16"/>
              </w:rPr>
              <w:t>0.986</w:t>
            </w:r>
          </w:p>
        </w:tc>
        <w:tc>
          <w:tcPr>
            <w:tcW w:type="dxa" w:w="936"/>
          </w:tcPr>
          <w:p>
            <w:r>
              <w:rPr>
                <w:rFonts w:ascii="Times New Roman" w:hAnsi="Times New Roman"/>
                <w:sz w:val="16"/>
              </w:rPr>
              <w:t>1.000</w:t>
            </w:r>
          </w:p>
        </w:tc>
        <w:tc>
          <w:tcPr>
            <w:tcW w:type="dxa" w:w="936"/>
          </w:tcPr>
          <w:p>
            <w:r>
              <w:rPr>
                <w:rFonts w:ascii="Times New Roman" w:hAnsi="Times New Roman"/>
                <w:sz w:val="16"/>
              </w:rPr>
              <w:t>0.01</w:t>
            </w:r>
          </w:p>
        </w:tc>
        <w:tc>
          <w:tcPr>
            <w:tcW w:type="dxa" w:w="936"/>
          </w:tcPr>
          <w:p>
            <w:r>
              <w:rPr>
                <w:rFonts w:ascii="Times New Roman" w:hAnsi="Times New Roman"/>
                <w:sz w:val="16"/>
              </w:rPr>
              <w:t>0.99</w:t>
            </w:r>
          </w:p>
        </w:tc>
        <w:tc>
          <w:tcPr>
            <w:tcW w:type="dxa" w:w="936"/>
          </w:tcPr>
          <w:p>
            <w:r>
              <w:rPr>
                <w:rFonts w:ascii="Times New Roman" w:hAnsi="Times New Roman"/>
                <w:sz w:val="16"/>
              </w:rPr>
              <w:t>–0.1</w:t>
            </w:r>
          </w:p>
        </w:tc>
        <w:tc>
          <w:tcPr>
            <w:tcW w:type="dxa" w:w="936"/>
          </w:tcPr>
          <w:p>
            <w:r>
              <w:rPr>
                <w:rFonts w:ascii="Times New Roman" w:hAnsi="Times New Roman"/>
                <w:sz w:val="16"/>
              </w:rPr>
              <w:t>–7.2</w:t>
            </w:r>
          </w:p>
        </w:tc>
        <w:tc>
          <w:tcPr>
            <w:tcW w:type="dxa" w:w="936"/>
          </w:tcPr>
          <w:p>
            <w:r>
              <w:rPr>
                <w:rFonts w:ascii="Times New Roman" w:hAnsi="Times New Roman"/>
                <w:sz w:val="16"/>
              </w:rPr>
              <w:t>7.0</w:t>
            </w:r>
          </w:p>
        </w:tc>
        <w:tc>
          <w:tcPr>
            <w:tcW w:type="dxa" w:w="936"/>
          </w:tcPr>
          <w:p>
            <w:r>
              <w:rPr>
                <w:rFonts w:ascii="Times New Roman" w:hAnsi="Times New Roman"/>
                <w:sz w:val="16"/>
              </w:rPr>
              <w:t>7.2</w:t>
            </w:r>
          </w:p>
        </w:tc>
      </w:tr>
      <w:tr>
        <w:tc>
          <w:tcPr>
            <w:tcW w:type="dxa" w:w="936"/>
          </w:tcPr>
          <w:p>
            <w:r>
              <w:rPr>
                <w:rFonts w:ascii="Times New Roman" w:hAnsi="Times New Roman"/>
                <w:sz w:val="16"/>
              </w:rPr>
              <w:t>C: Gain error</w:t>
            </w:r>
          </w:p>
        </w:tc>
        <w:tc>
          <w:tcPr>
            <w:tcW w:type="dxa" w:w="936"/>
          </w:tcPr>
          <w:p>
            <w:r>
              <w:rPr>
                <w:rFonts w:ascii="Times New Roman" w:hAnsi="Times New Roman"/>
                <w:sz w:val="16"/>
              </w:rPr>
              <w:t>0.855</w:t>
            </w:r>
          </w:p>
        </w:tc>
        <w:tc>
          <w:tcPr>
            <w:tcW w:type="dxa" w:w="936"/>
          </w:tcPr>
          <w:p>
            <w:r>
              <w:rPr>
                <w:rFonts w:ascii="Times New Roman" w:hAnsi="Times New Roman"/>
                <w:sz w:val="16"/>
              </w:rPr>
              <w:t>0.982</w:t>
            </w:r>
          </w:p>
        </w:tc>
        <w:tc>
          <w:tcPr>
            <w:tcW w:type="dxa" w:w="936"/>
          </w:tcPr>
          <w:p>
            <w:r>
              <w:rPr>
                <w:rFonts w:ascii="Times New Roman" w:hAnsi="Times New Roman"/>
                <w:sz w:val="16"/>
              </w:rPr>
              <w:t>0.870</w:t>
            </w:r>
          </w:p>
        </w:tc>
        <w:tc>
          <w:tcPr>
            <w:tcW w:type="dxa" w:w="936"/>
          </w:tcPr>
          <w:p>
            <w:r>
              <w:rPr>
                <w:rFonts w:ascii="Times New Roman" w:hAnsi="Times New Roman"/>
                <w:sz w:val="16"/>
              </w:rPr>
              <w:t>0.54</w:t>
            </w:r>
          </w:p>
        </w:tc>
        <w:tc>
          <w:tcPr>
            <w:tcW w:type="dxa" w:w="936"/>
          </w:tcPr>
          <w:p>
            <w:r>
              <w:rPr>
                <w:rFonts w:ascii="Times New Roman" w:hAnsi="Times New Roman"/>
                <w:sz w:val="16"/>
              </w:rPr>
              <w:t>1.11</w:t>
            </w:r>
          </w:p>
        </w:tc>
        <w:tc>
          <w:tcPr>
            <w:tcW w:type="dxa" w:w="936"/>
          </w:tcPr>
          <w:p>
            <w:r>
              <w:rPr>
                <w:rFonts w:ascii="Times New Roman" w:hAnsi="Times New Roman"/>
                <w:sz w:val="16"/>
              </w:rPr>
              <w:t>–10.9</w:t>
            </w:r>
          </w:p>
        </w:tc>
        <w:tc>
          <w:tcPr>
            <w:tcW w:type="dxa" w:w="936"/>
          </w:tcPr>
          <w:p>
            <w:r>
              <w:rPr>
                <w:rFonts w:ascii="Times New Roman" w:hAnsi="Times New Roman"/>
                <w:sz w:val="16"/>
              </w:rPr>
              <w:t>–19.4</w:t>
            </w:r>
          </w:p>
        </w:tc>
        <w:tc>
          <w:tcPr>
            <w:tcW w:type="dxa" w:w="936"/>
          </w:tcPr>
          <w:p>
            <w:r>
              <w:rPr>
                <w:rFonts w:ascii="Times New Roman" w:hAnsi="Times New Roman"/>
                <w:sz w:val="16"/>
              </w:rPr>
              <w:t>–2.4</w:t>
            </w:r>
          </w:p>
        </w:tc>
        <w:tc>
          <w:tcPr>
            <w:tcW w:type="dxa" w:w="936"/>
          </w:tcPr>
          <w:p>
            <w:r>
              <w:rPr>
                <w:rFonts w:ascii="Times New Roman" w:hAnsi="Times New Roman"/>
                <w:sz w:val="16"/>
              </w:rPr>
              <w:t>8.7</w:t>
            </w:r>
          </w:p>
        </w:tc>
      </w:tr>
      <w:tr>
        <w:tc>
          <w:tcPr>
            <w:tcW w:type="dxa" w:w="936"/>
          </w:tcPr>
          <w:p>
            <w:r>
              <w:rPr>
                <w:rFonts w:ascii="Times New Roman" w:hAnsi="Times New Roman"/>
                <w:sz w:val="16"/>
              </w:rPr>
              <w:t>D: Gain + offset</w:t>
            </w:r>
          </w:p>
        </w:tc>
        <w:tc>
          <w:tcPr>
            <w:tcW w:type="dxa" w:w="936"/>
          </w:tcPr>
          <w:p>
            <w:r>
              <w:rPr>
                <w:rFonts w:ascii="Times New Roman" w:hAnsi="Times New Roman"/>
                <w:sz w:val="16"/>
              </w:rPr>
              <w:t>0.976</w:t>
            </w:r>
          </w:p>
        </w:tc>
        <w:tc>
          <w:tcPr>
            <w:tcW w:type="dxa" w:w="936"/>
          </w:tcPr>
          <w:p>
            <w:r>
              <w:rPr>
                <w:rFonts w:ascii="Times New Roman" w:hAnsi="Times New Roman"/>
                <w:sz w:val="16"/>
              </w:rPr>
              <w:t>0.982</w:t>
            </w:r>
          </w:p>
        </w:tc>
        <w:tc>
          <w:tcPr>
            <w:tcW w:type="dxa" w:w="936"/>
          </w:tcPr>
          <w:p>
            <w:r>
              <w:rPr>
                <w:rFonts w:ascii="Times New Roman" w:hAnsi="Times New Roman"/>
                <w:sz w:val="16"/>
              </w:rPr>
              <w:t>0.993</w:t>
            </w:r>
          </w:p>
        </w:tc>
        <w:tc>
          <w:tcPr>
            <w:tcW w:type="dxa" w:w="936"/>
          </w:tcPr>
          <w:p>
            <w:r>
              <w:rPr>
                <w:rFonts w:ascii="Times New Roman" w:hAnsi="Times New Roman"/>
                <w:sz w:val="16"/>
              </w:rPr>
              <w:t>–0.05</w:t>
            </w:r>
          </w:p>
        </w:tc>
        <w:tc>
          <w:tcPr>
            <w:tcW w:type="dxa" w:w="936"/>
          </w:tcPr>
          <w:p>
            <w:r>
              <w:rPr>
                <w:rFonts w:ascii="Times New Roman" w:hAnsi="Times New Roman"/>
                <w:sz w:val="16"/>
              </w:rPr>
              <w:t>1.11</w:t>
            </w:r>
          </w:p>
        </w:tc>
        <w:tc>
          <w:tcPr>
            <w:tcW w:type="dxa" w:w="936"/>
          </w:tcPr>
          <w:p>
            <w:r>
              <w:rPr>
                <w:rFonts w:ascii="Times New Roman" w:hAnsi="Times New Roman"/>
                <w:sz w:val="16"/>
              </w:rPr>
              <w:t>1.1</w:t>
            </w:r>
          </w:p>
        </w:tc>
        <w:tc>
          <w:tcPr>
            <w:tcW w:type="dxa" w:w="936"/>
          </w:tcPr>
          <w:p>
            <w:r>
              <w:rPr>
                <w:rFonts w:ascii="Times New Roman" w:hAnsi="Times New Roman"/>
                <w:sz w:val="16"/>
              </w:rPr>
              <w:t>–7.4</w:t>
            </w:r>
          </w:p>
        </w:tc>
        <w:tc>
          <w:tcPr>
            <w:tcW w:type="dxa" w:w="936"/>
          </w:tcPr>
          <w:p>
            <w:r>
              <w:rPr>
                <w:rFonts w:ascii="Times New Roman" w:hAnsi="Times New Roman"/>
                <w:sz w:val="16"/>
              </w:rPr>
              <w:t>9.6</w:t>
            </w:r>
          </w:p>
        </w:tc>
        <w:tc>
          <w:tcPr>
            <w:tcW w:type="dxa" w:w="936"/>
          </w:tcPr>
          <w:p>
            <w:r>
              <w:rPr>
                <w:rFonts w:ascii="Times New Roman" w:hAnsi="Times New Roman"/>
                <w:sz w:val="16"/>
              </w:rPr>
              <w:t>8.7</w:t>
            </w:r>
          </w:p>
        </w:tc>
      </w:tr>
    </w:tbl>
    <w:p>
      <w:pPr>
        <w:spacing w:after="120"/>
      </w:pPr>
      <w:r>
        <w:rPr>
          <w:rFonts w:ascii="Times New Roman" w:hAnsi="Times New Roman"/>
          <w:b w:val="0"/>
          <w:i/>
          <w:sz w:val="24"/>
        </w:rPr>
        <w:t>CCC = concordance correlation coefficient; r = Pearson correlation (precision); C₂ = bias correction factor (accuracy); u = location shift; v = scale shift; LoA = limits of agreement; PE = percentage error. Scenario B and C have similar Bland–Altman bias but dramatically different C₂ values, demonstrating that Bland–Altman analysis alone cannot distinguish offset-corrected agreement from gain-error-masked agreement.</w:t>
      </w:r>
    </w:p>
    <w:p>
      <w:r>
        <w:br w:type="page"/>
      </w:r>
    </w:p>
    <w:p>
      <w:pPr>
        <w:pStyle w:val="Heading1"/>
      </w:pPr>
      <w:r>
        <w:rPr>
          <w:rFonts w:ascii="Times New Roman" w:hAnsi="Times New Roman"/>
          <w:color w:val="000000"/>
        </w:rPr>
        <w:t>Figures</w:t>
      </w:r>
    </w:p>
    <w:p>
      <w:pPr>
        <w:jc w:val="center"/>
      </w:pPr>
      <w:r>
        <w:drawing>
          <wp:inline xmlns:a="http://schemas.openxmlformats.org/drawingml/2006/main" xmlns:pic="http://schemas.openxmlformats.org/drawingml/2006/picture">
            <wp:extent cx="5486400" cy="1621011"/>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486400" cy="1621011"/>
                    </a:xfrm>
                    <a:prstGeom prst="rect"/>
                  </pic:spPr>
                </pic:pic>
              </a:graphicData>
            </a:graphic>
          </wp:inline>
        </w:drawing>
      </w:r>
    </w:p>
    <w:p>
      <w:pPr>
        <w:spacing w:after="240"/>
      </w:pPr>
      <w:r>
        <w:rPr>
          <w:rFonts w:ascii="Times New Roman" w:hAnsi="Times New Roman"/>
          <w:i/>
          <w:sz w:val="20"/>
        </w:rPr>
        <w:t>Figure 1. Arterial pressure waveform decomposition. (A) True arterial pressure with DC component (offset-dependent baseline) and AC component (pulse pressure, PP = 40 mmHg). (B) With DC offset of 15 mmHg (e.g., from hydrostatic column): PP remains unchanged at 40 mmHg because it is a differential quantity. (C) With gain error (v = 1.15): PP is distorted from 40 to 46 mmHg, demonstrating that PP accuracy validates sensor gain. Zero calibration corrects the offset in (B) but cannot correct the gain error in (C).</w:t>
      </w:r>
    </w:p>
    <w:p>
      <w:r>
        <w:br w:type="page"/>
      </w:r>
    </w:p>
    <w:p>
      <w:pPr>
        <w:jc w:val="center"/>
      </w:pPr>
      <w:r>
        <w:drawing>
          <wp:inline xmlns:a="http://schemas.openxmlformats.org/drawingml/2006/main" xmlns:pic="http://schemas.openxmlformats.org/drawingml/2006/picture">
            <wp:extent cx="5486400" cy="1404380"/>
            <wp:docPr id="2" name="Picture 2"/>
            <wp:cNvGraphicFramePr>
              <a:graphicFrameLocks noChangeAspect="1"/>
            </wp:cNvGraphicFramePr>
            <a:graphic>
              <a:graphicData uri="http://schemas.openxmlformats.org/drawingml/2006/picture">
                <pic:pic>
                  <pic:nvPicPr>
                    <pic:cNvPr id="0" name="figure2_ccc_zeroing_scenarios.png"/>
                    <pic:cNvPicPr/>
                  </pic:nvPicPr>
                  <pic:blipFill>
                    <a:blip r:embed="rId10"/>
                    <a:stretch>
                      <a:fillRect/>
                    </a:stretch>
                  </pic:blipFill>
                  <pic:spPr>
                    <a:xfrm>
                      <a:off x="0" y="0"/>
                      <a:ext cx="5486400" cy="1404380"/>
                    </a:xfrm>
                    <a:prstGeom prst="rect"/>
                  </pic:spPr>
                </pic:pic>
              </a:graphicData>
            </a:graphic>
          </wp:inline>
        </w:drawing>
      </w:r>
    </w:p>
    <w:p>
      <w:pPr>
        <w:spacing w:after="240"/>
      </w:pPr>
      <w:r>
        <w:rPr>
          <w:rFonts w:ascii="Times New Roman" w:hAnsi="Times New Roman"/>
          <w:i/>
          <w:sz w:val="20"/>
        </w:rPr>
        <w:t>Figure 2. Concordance plots for four simulated scenarios (n = 150 paired measurements). (A) Before zeroing: offset of 12 mmHg produces location shift u = –0.55, reducing C₂ to 0.867. (B) After zeroing: offset removed, CCC = 0.986 with C₂ = 1.000. (C) Gain error (v = 1.11): zeroing cannot improve C₂ (0.870) because the scale shift persists. (D) Gain + offset: CCC = 0.976; zeroing would move the device from D to C but not to B. Dashed line = identity (y = x); solid line = best fit.</w:t>
      </w:r>
    </w:p>
    <w:p>
      <w:r>
        <w:br w:type="page"/>
      </w:r>
    </w:p>
    <w:p>
      <w:pPr>
        <w:jc w:val="center"/>
      </w:pPr>
      <w:r>
        <w:drawing>
          <wp:inline xmlns:a="http://schemas.openxmlformats.org/drawingml/2006/main" xmlns:pic="http://schemas.openxmlformats.org/drawingml/2006/picture">
            <wp:extent cx="5486400" cy="2543052"/>
            <wp:docPr id="3" name="Picture 3"/>
            <wp:cNvGraphicFramePr>
              <a:graphicFrameLocks noChangeAspect="1"/>
            </wp:cNvGraphicFramePr>
            <a:graphic>
              <a:graphicData uri="http://schemas.openxmlformats.org/drawingml/2006/picture">
                <pic:pic>
                  <pic:nvPicPr>
                    <pic:cNvPr id="0" name="figure3_system_comparison.png"/>
                    <pic:cNvPicPr/>
                  </pic:nvPicPr>
                  <pic:blipFill>
                    <a:blip r:embed="rId11"/>
                    <a:stretch>
                      <a:fillRect/>
                    </a:stretch>
                  </pic:blipFill>
                  <pic:spPr>
                    <a:xfrm>
                      <a:off x="0" y="0"/>
                      <a:ext cx="5486400" cy="2543052"/>
                    </a:xfrm>
                    <a:prstGeom prst="rect"/>
                  </pic:spPr>
                </pic:pic>
              </a:graphicData>
            </a:graphic>
          </wp:inline>
        </w:drawing>
      </w:r>
    </w:p>
    <w:p>
      <w:pPr>
        <w:spacing w:after="240"/>
      </w:pPr>
      <w:r>
        <w:rPr>
          <w:rFonts w:ascii="Times New Roman" w:hAnsi="Times New Roman"/>
          <w:i/>
          <w:sz w:val="20"/>
        </w:rPr>
        <w:t>Figure 3. Comparison of conventional and proposed zero-calibration-free arterial pressure monitoring systems. (A) Conventional fluid-filled system: three sources of DC offset (hydrostatic column, atmospheric pressure reference, transducer drift) necessitate manual zero calibration, which corrects offset (u) only. (B) Proposed zero-free system: catheter-tip MEMS sensor eliminates hydrostatic column; built-in barometer provides electronic atmospheric compensation; self-calibrating MEMS eliminates drift. All offset sources are eliminated by design, and PP accuracy validates gain (v = 1).</w:t>
      </w:r>
    </w:p>
    <w:p>
      <w:r>
        <w:br w:type="page"/>
      </w:r>
    </w:p>
    <w:p>
      <w:pPr>
        <w:jc w:val="center"/>
      </w:pPr>
      <w:r>
        <w:drawing>
          <wp:inline xmlns:a="http://schemas.openxmlformats.org/drawingml/2006/main" xmlns:pic="http://schemas.openxmlformats.org/drawingml/2006/picture">
            <wp:extent cx="5486400" cy="4855429"/>
            <wp:docPr id="4" name="Picture 4"/>
            <wp:cNvGraphicFramePr>
              <a:graphicFrameLocks noChangeAspect="1"/>
            </wp:cNvGraphicFramePr>
            <a:graphic>
              <a:graphicData uri="http://schemas.openxmlformats.org/drawingml/2006/picture">
                <pic:pic>
                  <pic:nvPicPr>
                    <pic:cNvPr id="0" name="figure4_cb_diagnostic_space.png"/>
                    <pic:cNvPicPr/>
                  </pic:nvPicPr>
                  <pic:blipFill>
                    <a:blip r:embed="rId12"/>
                    <a:stretch>
                      <a:fillRect/>
                    </a:stretch>
                  </pic:blipFill>
                  <pic:spPr>
                    <a:xfrm>
                      <a:off x="0" y="0"/>
                      <a:ext cx="5486400" cy="4855429"/>
                    </a:xfrm>
                    <a:prstGeom prst="rect"/>
                  </pic:spPr>
                </pic:pic>
              </a:graphicData>
            </a:graphic>
          </wp:inline>
        </w:drawing>
      </w:r>
    </w:p>
    <w:p>
      <w:pPr>
        <w:spacing w:after="240"/>
      </w:pPr>
      <w:r>
        <w:rPr>
          <w:rFonts w:ascii="Times New Roman" w:hAnsi="Times New Roman"/>
          <w:i/>
          <w:sz w:val="20"/>
        </w:rPr>
        <w:t>Figure 4. Bias correction factor (C₂) as a function of location shift (u) and scale shift (v). Contour lines show iso-C₂ values. Zero calibration moves a device horizontally (u → 0, green arrows) but does not change v. Points A–D correspond to the scenarios in figure 2. The gold star marks the ideal (u = 0, v = 1, C₂ = 1.0). A device with correct gain (v = 1, validated by PP accuracy) and offset-free design (u = 0) achieves C₂ = 1.0 without calibration.</w:t>
      </w:r>
    </w:p>
    <w:p>
      <w:r>
        <w:br w:type="page"/>
      </w:r>
    </w:p>
    <w:p>
      <w:pPr>
        <w:jc w:val="center"/>
      </w:pPr>
      <w:r>
        <w:drawing>
          <wp:inline xmlns:a="http://schemas.openxmlformats.org/drawingml/2006/main" xmlns:pic="http://schemas.openxmlformats.org/drawingml/2006/picture">
            <wp:extent cx="5486400" cy="1579752"/>
            <wp:docPr id="5" name="Picture 5"/>
            <wp:cNvGraphicFramePr>
              <a:graphicFrameLocks noChangeAspect="1"/>
            </wp:cNvGraphicFramePr>
            <a:graphic>
              <a:graphicData uri="http://schemas.openxmlformats.org/drawingml/2006/picture">
                <pic:pic>
                  <pic:nvPicPr>
                    <pic:cNvPr id="0" name="figure5_ba_comparison.png"/>
                    <pic:cNvPicPr/>
                  </pic:nvPicPr>
                  <pic:blipFill>
                    <a:blip r:embed="rId13"/>
                    <a:stretch>
                      <a:fillRect/>
                    </a:stretch>
                  </pic:blipFill>
                  <pic:spPr>
                    <a:xfrm>
                      <a:off x="0" y="0"/>
                      <a:ext cx="5486400" cy="1579752"/>
                    </a:xfrm>
                    <a:prstGeom prst="rect"/>
                  </pic:spPr>
                </pic:pic>
              </a:graphicData>
            </a:graphic>
          </wp:inline>
        </w:drawing>
      </w:r>
    </w:p>
    <w:p>
      <w:pPr>
        <w:spacing w:after="240"/>
      </w:pPr>
      <w:r>
        <w:rPr>
          <w:rFonts w:ascii="Times New Roman" w:hAnsi="Times New Roman"/>
          <w:i/>
          <w:sz w:val="20"/>
        </w:rPr>
        <w:t>Figure 5. Bland–Altman plots for the four simulated scenarios. Solid horizontal line = mean bias; dashed lines = limits of agreement (±1.96 SD). Scenarios B and C both show near-zero bias after zeroing, yet have fundamentally different error structures detectable only by CCC decomposition (table 2).</w:t>
      </w:r>
    </w:p>
    <w:p>
      <w:r>
        <w:br w:type="page"/>
      </w:r>
    </w:p>
    <w:p>
      <w:pPr>
        <w:jc w:val="center"/>
      </w:pPr>
      <w:r>
        <w:drawing>
          <wp:inline xmlns:a="http://schemas.openxmlformats.org/drawingml/2006/main" xmlns:pic="http://schemas.openxmlformats.org/drawingml/2006/picture">
            <wp:extent cx="5486400" cy="2374676"/>
            <wp:docPr id="6" name="Picture 6"/>
            <wp:cNvGraphicFramePr>
              <a:graphicFrameLocks noChangeAspect="1"/>
            </wp:cNvGraphicFramePr>
            <a:graphic>
              <a:graphicData uri="http://schemas.openxmlformats.org/drawingml/2006/picture">
                <pic:pic>
                  <pic:nvPicPr>
                    <pic:cNvPr id="0" name="figure6_sensitivity_analysis.png"/>
                    <pic:cNvPicPr/>
                  </pic:nvPicPr>
                  <pic:blipFill>
                    <a:blip r:embed="rId14"/>
                    <a:stretch>
                      <a:fillRect/>
                    </a:stretch>
                  </pic:blipFill>
                  <pic:spPr>
                    <a:xfrm>
                      <a:off x="0" y="0"/>
                      <a:ext cx="5486400" cy="2374676"/>
                    </a:xfrm>
                    <a:prstGeom prst="rect"/>
                  </pic:spPr>
                </pic:pic>
              </a:graphicData>
            </a:graphic>
          </wp:inline>
        </w:drawing>
      </w:r>
    </w:p>
    <w:p>
      <w:pPr>
        <w:spacing w:after="240"/>
      </w:pPr>
      <w:r>
        <w:rPr>
          <w:rFonts w:ascii="Times New Roman" w:hAnsi="Times New Roman"/>
          <w:i/>
          <w:sz w:val="20"/>
        </w:rPr>
        <w:t>Figure 6. Sensitivity analysis. (A) C₂ as a function of gain error and DC offset: zero calibration (movement to zero offset, vertical arrows) improves C₂ only when gain is correct (v = 1). (B) CCC degradation with increasing gain error at different precision levels (r = 0.95, 0.97, 0.99): even high-precision sensors suffer substantial CCC loss when gain error exceeds ±10%. Shaded region indicates typical MEMS gain accuracy (±5%).</w:t>
      </w:r>
    </w:p>
    <w:p>
      <w:r>
        <w:br w:type="page"/>
      </w:r>
    </w:p>
    <w:p>
      <w:pPr>
        <w:jc w:val="center"/>
      </w:pPr>
      <w:r>
        <w:drawing>
          <wp:inline xmlns:a="http://schemas.openxmlformats.org/drawingml/2006/main" xmlns:pic="http://schemas.openxmlformats.org/drawingml/2006/picture">
            <wp:extent cx="5486400" cy="3519922"/>
            <wp:docPr id="7" name="Picture 7"/>
            <wp:cNvGraphicFramePr>
              <a:graphicFrameLocks noChangeAspect="1"/>
            </wp:cNvGraphicFramePr>
            <a:graphic>
              <a:graphicData uri="http://schemas.openxmlformats.org/drawingml/2006/picture">
                <pic:pic>
                  <pic:nvPicPr>
                    <pic:cNvPr id="0" name="figure7_pp_validation.png"/>
                    <pic:cNvPicPr/>
                  </pic:nvPicPr>
                  <pic:blipFill>
                    <a:blip r:embed="rId15"/>
                    <a:stretch>
                      <a:fillRect/>
                    </a:stretch>
                  </pic:blipFill>
                  <pic:spPr>
                    <a:xfrm>
                      <a:off x="0" y="0"/>
                      <a:ext cx="5486400" cy="3519922"/>
                    </a:xfrm>
                    <a:prstGeom prst="rect"/>
                  </pic:spPr>
                </pic:pic>
              </a:graphicData>
            </a:graphic>
          </wp:inline>
        </w:drawing>
      </w:r>
    </w:p>
    <w:p>
      <w:pPr>
        <w:spacing w:after="240"/>
      </w:pPr>
      <w:r>
        <w:rPr>
          <w:rFonts w:ascii="Times New Roman" w:hAnsi="Times New Roman"/>
          <w:i/>
          <w:sz w:val="20"/>
        </w:rPr>
        <w:t>Figure 7. Pulse pressure as an implicit gain validator. (A) Correct gain: PP is preserved. (B) Gain error (v = 1.15): PP is proportionally distorted. (C) DC offset only: PP is unchanged. (D–E) Regression of measured PP against reference PP: slope estimates sensor gain directly. (F) Logical chain from PP accuracy to zero-calibration-free monitoring.</w:t>
      </w:r>
    </w:p>
    <w:p>
      <w:r>
        <w:br w:type="page"/>
      </w:r>
    </w:p>
    <w:p>
      <w:pPr>
        <w:jc w:val="center"/>
      </w:pPr>
      <w:r>
        <w:drawing>
          <wp:inline xmlns:a="http://schemas.openxmlformats.org/drawingml/2006/main" xmlns:pic="http://schemas.openxmlformats.org/drawingml/2006/picture">
            <wp:extent cx="5486400" cy="2986734"/>
            <wp:docPr id="8" name="Picture 8"/>
            <wp:cNvGraphicFramePr>
              <a:graphicFrameLocks noChangeAspect="1"/>
            </wp:cNvGraphicFramePr>
            <a:graphic>
              <a:graphicData uri="http://schemas.openxmlformats.org/drawingml/2006/picture">
                <pic:pic>
                  <pic:nvPicPr>
                    <pic:cNvPr id="0" name="figure8_ba_vs_concordance.png"/>
                    <pic:cNvPicPr/>
                  </pic:nvPicPr>
                  <pic:blipFill>
                    <a:blip r:embed="rId16"/>
                    <a:stretch>
                      <a:fillRect/>
                    </a:stretch>
                  </pic:blipFill>
                  <pic:spPr>
                    <a:xfrm>
                      <a:off x="0" y="0"/>
                      <a:ext cx="5486400" cy="2986734"/>
                    </a:xfrm>
                    <a:prstGeom prst="rect"/>
                  </pic:spPr>
                </pic:pic>
              </a:graphicData>
            </a:graphic>
          </wp:inline>
        </w:drawing>
      </w:r>
    </w:p>
    <w:p>
      <w:pPr>
        <w:spacing w:after="240"/>
      </w:pPr>
      <w:r>
        <w:rPr>
          <w:rFonts w:ascii="Times New Roman" w:hAnsi="Times New Roman"/>
          <w:i/>
          <w:sz w:val="20"/>
        </w:rPr>
        <w:t>Figure 8. Side-by-side comparison of Bland–Altman and concordance analysis for all four scenarios. Upper row: concordance plots (identity line = dashed); lower row: Bland–Altman plots. Bland–Altman analysis cannot distinguish Scenario B (true agreement) from Scenario D (gain error masked by offset), whereas the concordance plot and CCC decomposition clearly separate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